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F4C10" w14:textId="17CE76E3" w:rsidR="00C60708" w:rsidRPr="00211750" w:rsidRDefault="00C60708" w:rsidP="00C60708">
      <w:pPr>
        <w:spacing w:after="0" w:line="360" w:lineRule="auto"/>
        <w:jc w:val="both"/>
        <w:rPr>
          <w:b/>
          <w:lang w:val="en-US"/>
        </w:rPr>
      </w:pPr>
      <w:bookmarkStart w:id="0" w:name="_GoBack"/>
      <w:r w:rsidRPr="00651B89">
        <w:rPr>
          <w:b/>
          <w:lang w:val="en-US"/>
        </w:rPr>
        <w:t>CONTRACT 75</w:t>
      </w:r>
      <w:r>
        <w:rPr>
          <w:b/>
          <w:lang w:val="en-US"/>
        </w:rPr>
        <w:t>311</w:t>
      </w:r>
      <w:r w:rsidR="00791FF8">
        <w:rPr>
          <w:b/>
          <w:lang w:val="en-US"/>
        </w:rPr>
        <w:t xml:space="preserve"> (Internal SUBI number for reference pu</w:t>
      </w:r>
      <w:r w:rsidR="00884327">
        <w:rPr>
          <w:b/>
          <w:lang w:val="en-US"/>
        </w:rPr>
        <w:t>r</w:t>
      </w:r>
      <w:r w:rsidR="00791FF8">
        <w:rPr>
          <w:b/>
          <w:lang w:val="en-US"/>
        </w:rPr>
        <w:t>poses)</w:t>
      </w:r>
    </w:p>
    <w:p w14:paraId="5695EAA3" w14:textId="77777777" w:rsidR="00C60708" w:rsidRDefault="00C60708" w:rsidP="00791FF8">
      <w:pPr>
        <w:spacing w:after="0" w:line="360" w:lineRule="auto"/>
        <w:jc w:val="both"/>
        <w:rPr>
          <w:b/>
          <w:lang w:val="en-US"/>
        </w:rPr>
      </w:pPr>
      <w:r w:rsidRPr="00AC76F7">
        <w:rPr>
          <w:b/>
          <w:lang w:val="en-US"/>
        </w:rPr>
        <w:t>«</w:t>
      </w:r>
      <w:r>
        <w:rPr>
          <w:b/>
          <w:lang w:val="en-US"/>
        </w:rPr>
        <w:t>Tritium oxide effect on DNA of animal tissues structure and metabolism</w:t>
      </w:r>
      <w:r w:rsidRPr="00AC76F7">
        <w:rPr>
          <w:b/>
          <w:lang w:val="en-US"/>
        </w:rPr>
        <w:t>»</w:t>
      </w:r>
      <w:r>
        <w:rPr>
          <w:b/>
          <w:lang w:val="en-US"/>
        </w:rPr>
        <w:t xml:space="preserve"> </w:t>
      </w:r>
    </w:p>
    <w:p w14:paraId="50574D79" w14:textId="77777777" w:rsidR="00791FF8" w:rsidRPr="0042735C" w:rsidRDefault="00791FF8" w:rsidP="00791FF8">
      <w:pPr>
        <w:spacing w:after="0" w:line="360" w:lineRule="auto"/>
        <w:jc w:val="both"/>
        <w:rPr>
          <w:lang w:val="en-US"/>
        </w:rPr>
      </w:pPr>
      <w:r>
        <w:rPr>
          <w:lang w:val="en-US"/>
        </w:rPr>
        <w:t>Performance period</w:t>
      </w:r>
      <w:r w:rsidRPr="00211750">
        <w:rPr>
          <w:lang w:val="en-US"/>
        </w:rPr>
        <w:t xml:space="preserve">: 1975-1977 </w:t>
      </w:r>
    </w:p>
    <w:p w14:paraId="6B50FE68" w14:textId="77777777" w:rsidR="00811C7D" w:rsidRDefault="00811C7D" w:rsidP="00791FF8">
      <w:pPr>
        <w:spacing w:after="0" w:line="360" w:lineRule="auto"/>
        <w:jc w:val="both"/>
        <w:rPr>
          <w:b/>
          <w:lang w:val="en-US"/>
        </w:rPr>
      </w:pPr>
    </w:p>
    <w:p w14:paraId="0CF8A66B" w14:textId="1D3CC702" w:rsidR="00791FF8" w:rsidRDefault="00791FF8" w:rsidP="00791FF8">
      <w:pPr>
        <w:spacing w:after="0" w:line="360" w:lineRule="auto"/>
        <w:jc w:val="both"/>
        <w:rPr>
          <w:b/>
          <w:lang w:val="en-US"/>
        </w:rPr>
      </w:pPr>
      <w:r>
        <w:rPr>
          <w:b/>
          <w:lang w:val="en-US"/>
        </w:rPr>
        <w:t>Publication</w:t>
      </w:r>
      <w:r w:rsidR="00811C7D">
        <w:rPr>
          <w:b/>
          <w:lang w:val="en-US"/>
        </w:rPr>
        <w:t>s</w:t>
      </w:r>
    </w:p>
    <w:p w14:paraId="3A1514D6" w14:textId="77777777" w:rsidR="00C60708" w:rsidRDefault="00C60708" w:rsidP="00791FF8">
      <w:pPr>
        <w:spacing w:after="0" w:line="360" w:lineRule="auto"/>
        <w:jc w:val="both"/>
        <w:rPr>
          <w:lang w:val="en-US"/>
        </w:rPr>
      </w:pPr>
      <w:r>
        <w:rPr>
          <w:lang w:val="en-US"/>
        </w:rPr>
        <w:t xml:space="preserve">Scientific research report (final). Principal investigator V.V. </w:t>
      </w:r>
      <w:proofErr w:type="spellStart"/>
      <w:r>
        <w:rPr>
          <w:lang w:val="en-US"/>
        </w:rPr>
        <w:t>Kreslov</w:t>
      </w:r>
      <w:proofErr w:type="spellEnd"/>
      <w:r>
        <w:rPr>
          <w:lang w:val="en-US"/>
        </w:rPr>
        <w:t xml:space="preserve">, principal executive G.S. </w:t>
      </w:r>
      <w:proofErr w:type="spellStart"/>
      <w:r>
        <w:rPr>
          <w:lang w:val="en-US"/>
        </w:rPr>
        <w:t>Mushkachyova</w:t>
      </w:r>
      <w:proofErr w:type="spellEnd"/>
      <w:r>
        <w:rPr>
          <w:lang w:val="en-US"/>
        </w:rPr>
        <w:t xml:space="preserve">, G.G. </w:t>
      </w:r>
      <w:proofErr w:type="spellStart"/>
      <w:r>
        <w:rPr>
          <w:lang w:val="en-US"/>
        </w:rPr>
        <w:t>Rusinova</w:t>
      </w:r>
      <w:proofErr w:type="spellEnd"/>
      <w:r>
        <w:rPr>
          <w:lang w:val="en-US"/>
        </w:rPr>
        <w:t xml:space="preserve">, executive  V.S. </w:t>
      </w:r>
      <w:proofErr w:type="spellStart"/>
      <w:r>
        <w:rPr>
          <w:lang w:val="en-US"/>
        </w:rPr>
        <w:t>Revina</w:t>
      </w:r>
      <w:proofErr w:type="spellEnd"/>
      <w:r>
        <w:rPr>
          <w:lang w:val="en-US"/>
        </w:rPr>
        <w:t xml:space="preserve"> et al. – FIB-1,1977. – Inv. No. 1105. – </w:t>
      </w:r>
      <w:proofErr w:type="gramStart"/>
      <w:r>
        <w:rPr>
          <w:lang w:val="en-US"/>
        </w:rPr>
        <w:t>68p.,</w:t>
      </w:r>
      <w:proofErr w:type="gramEnd"/>
      <w:r>
        <w:rPr>
          <w:lang w:val="en-US"/>
        </w:rPr>
        <w:t xml:space="preserve"> 15 tables, 20 fig., 26 references. Contract materials were sources for 9 papers (1 manuscript, 8 publications). </w:t>
      </w:r>
    </w:p>
    <w:p w14:paraId="55CD37E6" w14:textId="77777777" w:rsidR="00791FF8" w:rsidRDefault="00791FF8" w:rsidP="00791FF8">
      <w:pPr>
        <w:spacing w:after="0" w:line="360" w:lineRule="auto"/>
        <w:jc w:val="both"/>
        <w:rPr>
          <w:lang w:val="en-US"/>
        </w:rPr>
      </w:pPr>
    </w:p>
    <w:p w14:paraId="3B306758" w14:textId="77777777" w:rsidR="00811C7D" w:rsidRPr="00811C7D" w:rsidRDefault="00811C7D" w:rsidP="00811C7D">
      <w:pPr>
        <w:spacing w:after="0" w:line="360" w:lineRule="auto"/>
        <w:jc w:val="both"/>
        <w:rPr>
          <w:b/>
          <w:bCs/>
          <w:lang w:val="en-US"/>
        </w:rPr>
      </w:pPr>
      <w:r w:rsidRPr="00811C7D">
        <w:rPr>
          <w:b/>
          <w:bCs/>
          <w:lang w:val="en-US"/>
        </w:rPr>
        <w:t>Background</w:t>
      </w:r>
    </w:p>
    <w:p w14:paraId="5DAFCA21" w14:textId="3936D8F3" w:rsidR="00811C7D" w:rsidRDefault="00811C7D" w:rsidP="00811C7D">
      <w:pPr>
        <w:spacing w:after="0" w:line="360" w:lineRule="auto"/>
        <w:jc w:val="both"/>
        <w:rPr>
          <w:bCs/>
          <w:lang w:val="en-US"/>
        </w:rPr>
      </w:pPr>
      <w:r>
        <w:rPr>
          <w:bCs/>
          <w:lang w:val="en-US"/>
        </w:rPr>
        <w:t xml:space="preserve">The information was gathered from </w:t>
      </w:r>
      <w:r w:rsidR="00B177D4">
        <w:rPr>
          <w:bCs/>
          <w:lang w:val="en-US"/>
        </w:rPr>
        <w:t xml:space="preserve">1224 male </w:t>
      </w:r>
      <w:proofErr w:type="spellStart"/>
      <w:r w:rsidR="00B177D4">
        <w:rPr>
          <w:bCs/>
          <w:lang w:val="en-US"/>
        </w:rPr>
        <w:t>Wistar</w:t>
      </w:r>
      <w:proofErr w:type="spellEnd"/>
      <w:r w:rsidR="00B177D4">
        <w:rPr>
          <w:bCs/>
          <w:lang w:val="en-US"/>
        </w:rPr>
        <w:t xml:space="preserve"> rats </w:t>
      </w:r>
      <w:r>
        <w:rPr>
          <w:bCs/>
          <w:lang w:val="en-US"/>
        </w:rPr>
        <w:t xml:space="preserve">that were used in SUBI’s </w:t>
      </w:r>
      <w:r w:rsidRPr="00A66184">
        <w:rPr>
          <w:bCs/>
          <w:lang w:val="en-US"/>
        </w:rPr>
        <w:t xml:space="preserve">experiment no. </w:t>
      </w:r>
      <w:r>
        <w:rPr>
          <w:bCs/>
          <w:lang w:val="en-US"/>
        </w:rPr>
        <w:t>75311.</w:t>
      </w:r>
      <w:r w:rsidRPr="00A66184">
        <w:rPr>
          <w:bCs/>
          <w:lang w:val="en-US"/>
        </w:rPr>
        <w:t xml:space="preserve"> </w:t>
      </w:r>
      <w:r>
        <w:rPr>
          <w:bCs/>
          <w:lang w:val="en-US"/>
        </w:rPr>
        <w:t xml:space="preserve">The collection and collation of the information was done as part of Task </w:t>
      </w:r>
      <w:r w:rsidRPr="00811C7D">
        <w:rPr>
          <w:bCs/>
          <w:lang w:val="en-US"/>
        </w:rPr>
        <w:t>2.3</w:t>
      </w:r>
      <w:r>
        <w:rPr>
          <w:bCs/>
          <w:lang w:val="en-US"/>
        </w:rPr>
        <w:t xml:space="preserve"> (</w:t>
      </w:r>
      <w:r w:rsidRPr="00811C7D">
        <w:rPr>
          <w:bCs/>
          <w:lang w:val="en-US"/>
        </w:rPr>
        <w:t>“Evaluation of the SUBI tissue archive and database as a potential part of the European archive”</w:t>
      </w:r>
      <w:r>
        <w:rPr>
          <w:bCs/>
          <w:lang w:val="en-US"/>
        </w:rPr>
        <w:t>) of the previous EURATOM-funded project STORE (</w:t>
      </w:r>
      <w:r w:rsidRPr="002A29AC">
        <w:rPr>
          <w:lang w:val="en-US"/>
        </w:rPr>
        <w:t xml:space="preserve">Sustaining access to Tissues and data </w:t>
      </w:r>
      <w:proofErr w:type="spellStart"/>
      <w:r w:rsidRPr="002A29AC">
        <w:rPr>
          <w:lang w:val="en-US"/>
        </w:rPr>
        <w:t>fr</w:t>
      </w:r>
      <w:r>
        <w:rPr>
          <w:lang w:val="en-US"/>
        </w:rPr>
        <w:t>O</w:t>
      </w:r>
      <w:r w:rsidRPr="002A29AC">
        <w:rPr>
          <w:lang w:val="en-US"/>
        </w:rPr>
        <w:t>m</w:t>
      </w:r>
      <w:proofErr w:type="spellEnd"/>
      <w:r w:rsidRPr="002A29AC">
        <w:rPr>
          <w:lang w:val="en-US"/>
        </w:rPr>
        <w:t xml:space="preserve"> Radiobiological Experiments</w:t>
      </w:r>
      <w:r>
        <w:rPr>
          <w:bCs/>
          <w:lang w:val="en-US"/>
        </w:rPr>
        <w:t xml:space="preserve">; </w:t>
      </w:r>
      <w:r w:rsidRPr="003972DC">
        <w:rPr>
          <w:bCs/>
          <w:lang w:val="en-US"/>
        </w:rPr>
        <w:t>contract number 23228)</w:t>
      </w:r>
      <w:r>
        <w:rPr>
          <w:bCs/>
          <w:lang w:val="en-US"/>
        </w:rPr>
        <w:t xml:space="preserve">, which was coordinated by </w:t>
      </w:r>
      <w:proofErr w:type="spellStart"/>
      <w:r>
        <w:rPr>
          <w:bCs/>
          <w:lang w:val="en-US"/>
        </w:rPr>
        <w:t>BfS</w:t>
      </w:r>
      <w:proofErr w:type="spellEnd"/>
      <w:r>
        <w:rPr>
          <w:bCs/>
          <w:lang w:val="en-US"/>
        </w:rPr>
        <w:t xml:space="preserve">, Germany (see </w:t>
      </w:r>
      <w:hyperlink r:id="rId5" w:history="1">
        <w:r w:rsidRPr="00FD4E5C">
          <w:rPr>
            <w:rStyle w:val="Hyperlink"/>
            <w:bCs/>
            <w:lang w:val="en-US"/>
          </w:rPr>
          <w:t>http://cordis.europa.eu/project/rcn/89386_en.html</w:t>
        </w:r>
      </w:hyperlink>
      <w:proofErr w:type="gramStart"/>
      <w:r>
        <w:rPr>
          <w:bCs/>
          <w:lang w:val="en-US"/>
        </w:rPr>
        <w:t>) .</w:t>
      </w:r>
      <w:proofErr w:type="gramEnd"/>
    </w:p>
    <w:p w14:paraId="3BEA474E" w14:textId="1530A364" w:rsidR="00811C7D" w:rsidRDefault="00811C7D" w:rsidP="00811C7D">
      <w:pPr>
        <w:spacing w:after="0" w:line="360" w:lineRule="auto"/>
        <w:jc w:val="both"/>
        <w:rPr>
          <w:bCs/>
          <w:lang w:val="en-US"/>
        </w:rPr>
      </w:pPr>
      <w:r>
        <w:rPr>
          <w:bCs/>
          <w:lang w:val="en-US"/>
        </w:rPr>
        <w:t xml:space="preserve">The information given here is based upon SUBI’s </w:t>
      </w:r>
      <w:r w:rsidR="00B177D4">
        <w:rPr>
          <w:bCs/>
          <w:lang w:val="en-US"/>
        </w:rPr>
        <w:t>42</w:t>
      </w:r>
      <w:r>
        <w:rPr>
          <w:bCs/>
          <w:lang w:val="en-US"/>
        </w:rPr>
        <w:t xml:space="preserve"> months report.</w:t>
      </w:r>
    </w:p>
    <w:p w14:paraId="6816510E" w14:textId="25BE43B8" w:rsidR="00811C7D" w:rsidRDefault="00811C7D" w:rsidP="00811C7D">
      <w:pPr>
        <w:spacing w:after="0" w:line="360" w:lineRule="auto"/>
        <w:jc w:val="both"/>
        <w:rPr>
          <w:lang w:val="en-US"/>
        </w:rPr>
      </w:pPr>
      <w:r>
        <w:rPr>
          <w:bCs/>
          <w:lang w:val="en-US"/>
        </w:rPr>
        <w:t>It has been shown in the STORE project, that the biological material from the experiments conducted by SUBI can still be used. The respective Standard Operating Procedures are available on the STORE website (</w:t>
      </w:r>
      <w:hyperlink r:id="rId6" w:history="1">
        <w:r w:rsidRPr="00336231">
          <w:rPr>
            <w:rStyle w:val="Hyperlink"/>
            <w:bCs/>
            <w:lang w:val="en-US"/>
          </w:rPr>
          <w:t>http://www.storedb.org/store_v3/documents.jsp</w:t>
        </w:r>
      </w:hyperlink>
      <w:r>
        <w:rPr>
          <w:bCs/>
          <w:lang w:val="en-US"/>
        </w:rPr>
        <w:t xml:space="preserve"> ).</w:t>
      </w:r>
    </w:p>
    <w:p w14:paraId="7EED2929" w14:textId="77777777" w:rsidR="00811C7D" w:rsidRDefault="00811C7D" w:rsidP="00791FF8">
      <w:pPr>
        <w:spacing w:after="0" w:line="360" w:lineRule="auto"/>
        <w:jc w:val="both"/>
        <w:rPr>
          <w:b/>
          <w:lang w:val="en-US"/>
        </w:rPr>
      </w:pPr>
    </w:p>
    <w:p w14:paraId="3CE64A72" w14:textId="77777777" w:rsidR="00791FF8" w:rsidRPr="00791FF8" w:rsidRDefault="00791FF8" w:rsidP="00791FF8">
      <w:pPr>
        <w:spacing w:after="0" w:line="360" w:lineRule="auto"/>
        <w:jc w:val="both"/>
        <w:rPr>
          <w:b/>
          <w:lang w:val="en-US"/>
        </w:rPr>
      </w:pPr>
      <w:r>
        <w:rPr>
          <w:b/>
          <w:lang w:val="en-US"/>
        </w:rPr>
        <w:t xml:space="preserve">The </w:t>
      </w:r>
      <w:r w:rsidRPr="00791FF8">
        <w:rPr>
          <w:b/>
          <w:lang w:val="en-US"/>
        </w:rPr>
        <w:t>Study</w:t>
      </w:r>
    </w:p>
    <w:p w14:paraId="69C2D3B9" w14:textId="77777777" w:rsidR="00791FF8" w:rsidRDefault="00791FF8" w:rsidP="00791FF8">
      <w:pPr>
        <w:spacing w:after="0" w:line="360" w:lineRule="auto"/>
        <w:jc w:val="both"/>
        <w:rPr>
          <w:lang w:val="en-US"/>
        </w:rPr>
      </w:pPr>
      <w:r>
        <w:rPr>
          <w:lang w:val="en-US"/>
        </w:rPr>
        <w:t xml:space="preserve">Study population: </w:t>
      </w:r>
      <w:r w:rsidR="00F01E7E">
        <w:rPr>
          <w:lang w:val="en-US"/>
        </w:rPr>
        <w:t xml:space="preserve"> 276 </w:t>
      </w:r>
      <w:r>
        <w:rPr>
          <w:lang w:val="en-US"/>
        </w:rPr>
        <w:t>female rats</w:t>
      </w:r>
    </w:p>
    <w:p w14:paraId="72415804" w14:textId="77777777" w:rsidR="00791FF8" w:rsidRDefault="00791FF8" w:rsidP="00791FF8">
      <w:pPr>
        <w:spacing w:after="0" w:line="360" w:lineRule="auto"/>
        <w:jc w:val="both"/>
        <w:rPr>
          <w:lang w:val="en-US"/>
        </w:rPr>
      </w:pPr>
      <w:r>
        <w:rPr>
          <w:lang w:val="en-US"/>
        </w:rPr>
        <w:t>Exposure: Single oral intake of tritium oxide, external gamma radiation</w:t>
      </w:r>
      <w:r w:rsidR="00F01E7E">
        <w:rPr>
          <w:lang w:val="en-US"/>
        </w:rPr>
        <w:t>, control</w:t>
      </w:r>
    </w:p>
    <w:p w14:paraId="4FDA7C4D" w14:textId="5FE68664" w:rsidR="00791FF8" w:rsidRDefault="00791FF8" w:rsidP="00791FF8">
      <w:pPr>
        <w:spacing w:after="0" w:line="360" w:lineRule="auto"/>
        <w:jc w:val="both"/>
        <w:rPr>
          <w:lang w:val="en-US"/>
        </w:rPr>
      </w:pPr>
      <w:r>
        <w:rPr>
          <w:lang w:val="en-US"/>
        </w:rPr>
        <w:t xml:space="preserve">Outcome of interest: </w:t>
      </w:r>
    </w:p>
    <w:p w14:paraId="0BDF70B7" w14:textId="77777777" w:rsidR="00791FF8" w:rsidRPr="00791FF8" w:rsidRDefault="00C60708" w:rsidP="00791FF8">
      <w:pPr>
        <w:pStyle w:val="Listenabsatz"/>
        <w:numPr>
          <w:ilvl w:val="0"/>
          <w:numId w:val="1"/>
        </w:numPr>
        <w:spacing w:after="0" w:line="360" w:lineRule="auto"/>
        <w:jc w:val="both"/>
        <w:rPr>
          <w:i/>
          <w:lang w:val="en-US"/>
        </w:rPr>
      </w:pPr>
      <w:r w:rsidRPr="00791FF8">
        <w:rPr>
          <w:lang w:val="en-US"/>
        </w:rPr>
        <w:t>DNA function and structure during 37 days after single oral intake of tritium oxide</w:t>
      </w:r>
    </w:p>
    <w:p w14:paraId="15F3CEAF" w14:textId="77777777" w:rsidR="00791FF8" w:rsidRPr="00791FF8" w:rsidRDefault="00C60708" w:rsidP="00791FF8">
      <w:pPr>
        <w:pStyle w:val="Listenabsatz"/>
        <w:numPr>
          <w:ilvl w:val="0"/>
          <w:numId w:val="1"/>
        </w:numPr>
        <w:spacing w:after="0" w:line="360" w:lineRule="auto"/>
        <w:jc w:val="both"/>
        <w:rPr>
          <w:i/>
          <w:lang w:val="en-US"/>
        </w:rPr>
      </w:pPr>
      <w:r w:rsidRPr="00791FF8">
        <w:rPr>
          <w:lang w:val="en-US"/>
        </w:rPr>
        <w:t>kinetics of tritium body clearance</w:t>
      </w:r>
    </w:p>
    <w:p w14:paraId="454CDDE0" w14:textId="77777777" w:rsidR="00C60708" w:rsidRPr="00791FF8" w:rsidRDefault="00C60708" w:rsidP="00791FF8">
      <w:pPr>
        <w:pStyle w:val="Listenabsatz"/>
        <w:numPr>
          <w:ilvl w:val="0"/>
          <w:numId w:val="1"/>
        </w:numPr>
        <w:spacing w:after="0" w:line="360" w:lineRule="auto"/>
        <w:jc w:val="both"/>
        <w:rPr>
          <w:i/>
          <w:lang w:val="en-US"/>
        </w:rPr>
      </w:pPr>
      <w:proofErr w:type="gramStart"/>
      <w:r w:rsidRPr="00791FF8">
        <w:rPr>
          <w:lang w:val="en-US"/>
        </w:rPr>
        <w:t>average</w:t>
      </w:r>
      <w:proofErr w:type="gramEnd"/>
      <w:r w:rsidRPr="00791FF8">
        <w:rPr>
          <w:lang w:val="en-US"/>
        </w:rPr>
        <w:t xml:space="preserve"> lifespan and late effects. </w:t>
      </w:r>
    </w:p>
    <w:p w14:paraId="30E8AD19" w14:textId="77777777" w:rsidR="00791FF8" w:rsidRDefault="00791FF8" w:rsidP="00791FF8">
      <w:pPr>
        <w:spacing w:after="0" w:line="360" w:lineRule="auto"/>
        <w:jc w:val="both"/>
        <w:rPr>
          <w:b/>
          <w:lang w:val="en-US"/>
        </w:rPr>
      </w:pPr>
    </w:p>
    <w:p w14:paraId="69455FF0" w14:textId="77777777" w:rsidR="00C60708" w:rsidRPr="0032013D" w:rsidRDefault="00C60708" w:rsidP="00791FF8">
      <w:pPr>
        <w:spacing w:after="0" w:line="360" w:lineRule="auto"/>
        <w:jc w:val="both"/>
        <w:rPr>
          <w:b/>
          <w:lang w:val="en-US"/>
        </w:rPr>
      </w:pPr>
      <w:r>
        <w:rPr>
          <w:b/>
          <w:lang w:val="en-US"/>
        </w:rPr>
        <w:t>Results</w:t>
      </w:r>
    </w:p>
    <w:p w14:paraId="257E5B72" w14:textId="77777777" w:rsidR="00C60708" w:rsidRPr="00803874" w:rsidRDefault="00C60708" w:rsidP="00791FF8">
      <w:pPr>
        <w:spacing w:after="0" w:line="360" w:lineRule="auto"/>
        <w:jc w:val="both"/>
        <w:rPr>
          <w:lang w:val="en-US"/>
        </w:rPr>
      </w:pPr>
      <w:r>
        <w:rPr>
          <w:lang w:val="en-US"/>
        </w:rPr>
        <w:t>Changes</w:t>
      </w:r>
      <w:r w:rsidRPr="00922AE5">
        <w:rPr>
          <w:lang w:val="en-US"/>
        </w:rPr>
        <w:t xml:space="preserve"> </w:t>
      </w:r>
      <w:r>
        <w:rPr>
          <w:lang w:val="en-US"/>
        </w:rPr>
        <w:t>in</w:t>
      </w:r>
      <w:r w:rsidRPr="00922AE5">
        <w:rPr>
          <w:lang w:val="en-US"/>
        </w:rPr>
        <w:t xml:space="preserve"> </w:t>
      </w:r>
      <w:r>
        <w:rPr>
          <w:lang w:val="en-US"/>
        </w:rPr>
        <w:t>biosynthesis</w:t>
      </w:r>
      <w:r w:rsidRPr="00922AE5">
        <w:rPr>
          <w:lang w:val="en-US"/>
        </w:rPr>
        <w:t xml:space="preserve"> </w:t>
      </w:r>
      <w:r>
        <w:rPr>
          <w:lang w:val="en-US"/>
        </w:rPr>
        <w:t>rate</w:t>
      </w:r>
      <w:r w:rsidRPr="00922AE5">
        <w:rPr>
          <w:lang w:val="en-US"/>
        </w:rPr>
        <w:t xml:space="preserve"> </w:t>
      </w:r>
      <w:r>
        <w:rPr>
          <w:lang w:val="en-US"/>
        </w:rPr>
        <w:t>and</w:t>
      </w:r>
      <w:r w:rsidRPr="00922AE5">
        <w:rPr>
          <w:lang w:val="en-US"/>
        </w:rPr>
        <w:t xml:space="preserve"> </w:t>
      </w:r>
      <w:r>
        <w:rPr>
          <w:lang w:val="en-US"/>
        </w:rPr>
        <w:t>content</w:t>
      </w:r>
      <w:r w:rsidRPr="00922AE5">
        <w:rPr>
          <w:lang w:val="en-US"/>
        </w:rPr>
        <w:t xml:space="preserve"> </w:t>
      </w:r>
      <w:r>
        <w:rPr>
          <w:lang w:val="en-US"/>
        </w:rPr>
        <w:t>of</w:t>
      </w:r>
      <w:r w:rsidRPr="00922AE5">
        <w:rPr>
          <w:lang w:val="en-US"/>
        </w:rPr>
        <w:t xml:space="preserve"> nucleic acids, </w:t>
      </w:r>
      <w:r>
        <w:rPr>
          <w:lang w:val="en-US"/>
        </w:rPr>
        <w:t>activity</w:t>
      </w:r>
      <w:r w:rsidRPr="00922AE5">
        <w:rPr>
          <w:lang w:val="en-US"/>
        </w:rPr>
        <w:t xml:space="preserve"> </w:t>
      </w:r>
      <w:r>
        <w:rPr>
          <w:lang w:val="en-US"/>
        </w:rPr>
        <w:t>of</w:t>
      </w:r>
      <w:r w:rsidRPr="00922AE5">
        <w:rPr>
          <w:lang w:val="en-US"/>
        </w:rPr>
        <w:t xml:space="preserve"> </w:t>
      </w:r>
      <w:r>
        <w:rPr>
          <w:lang w:val="en-US"/>
        </w:rPr>
        <w:t>DNA degradation ferments were noted. By</w:t>
      </w:r>
      <w:r w:rsidRPr="007716F2">
        <w:rPr>
          <w:lang w:val="en-US"/>
        </w:rPr>
        <w:t xml:space="preserve"> </w:t>
      </w:r>
      <w:r w:rsidRPr="00C049FE">
        <w:rPr>
          <w:lang w:val="en-US"/>
        </w:rPr>
        <w:t xml:space="preserve">DNA single-stranded break </w:t>
      </w:r>
      <w:r>
        <w:rPr>
          <w:lang w:val="en-US"/>
        </w:rPr>
        <w:t xml:space="preserve">criteria relative efficiency of tritium oxide and </w:t>
      </w:r>
      <w:r w:rsidRPr="00274F60">
        <w:t>γ</w:t>
      </w:r>
      <w:r>
        <w:rPr>
          <w:lang w:val="en-US"/>
        </w:rPr>
        <w:t>-radiation was estimated. Tritium</w:t>
      </w:r>
      <w:r w:rsidRPr="00803874">
        <w:rPr>
          <w:lang w:val="en-US"/>
        </w:rPr>
        <w:t xml:space="preserve"> </w:t>
      </w:r>
      <w:r>
        <w:rPr>
          <w:lang w:val="en-US"/>
        </w:rPr>
        <w:t>oxide</w:t>
      </w:r>
      <w:r w:rsidRPr="00803874">
        <w:rPr>
          <w:lang w:val="en-US"/>
        </w:rPr>
        <w:t xml:space="preserve"> </w:t>
      </w:r>
      <w:r>
        <w:rPr>
          <w:lang w:val="en-US"/>
        </w:rPr>
        <w:t>administration</w:t>
      </w:r>
      <w:r w:rsidRPr="00803874">
        <w:rPr>
          <w:lang w:val="en-US"/>
        </w:rPr>
        <w:t xml:space="preserve"> (</w:t>
      </w:r>
      <w:r>
        <w:rPr>
          <w:lang w:val="en-US"/>
        </w:rPr>
        <w:t>absorbed</w:t>
      </w:r>
      <w:r w:rsidRPr="00803874">
        <w:rPr>
          <w:lang w:val="en-US"/>
        </w:rPr>
        <w:t xml:space="preserve"> </w:t>
      </w:r>
      <w:r>
        <w:rPr>
          <w:lang w:val="en-US"/>
        </w:rPr>
        <w:t>dose</w:t>
      </w:r>
      <w:r w:rsidRPr="00803874">
        <w:rPr>
          <w:lang w:val="en-US"/>
        </w:rPr>
        <w:t xml:space="preserve"> 11.4 </w:t>
      </w:r>
      <w:proofErr w:type="spellStart"/>
      <w:r>
        <w:rPr>
          <w:lang w:val="en-US"/>
        </w:rPr>
        <w:t>Gy</w:t>
      </w:r>
      <w:proofErr w:type="spellEnd"/>
      <w:r w:rsidRPr="00803874">
        <w:rPr>
          <w:lang w:val="en-US"/>
        </w:rPr>
        <w:t xml:space="preserve">) </w:t>
      </w:r>
      <w:r>
        <w:rPr>
          <w:lang w:val="en-US"/>
        </w:rPr>
        <w:t>resulted</w:t>
      </w:r>
      <w:r w:rsidRPr="00803874">
        <w:rPr>
          <w:lang w:val="en-US"/>
        </w:rPr>
        <w:t xml:space="preserve"> </w:t>
      </w:r>
      <w:r>
        <w:rPr>
          <w:lang w:val="en-US"/>
        </w:rPr>
        <w:t>in</w:t>
      </w:r>
      <w:r w:rsidRPr="00803874">
        <w:rPr>
          <w:lang w:val="en-US"/>
        </w:rPr>
        <w:t xml:space="preserve"> </w:t>
      </w:r>
      <w:r>
        <w:rPr>
          <w:lang w:val="en-US"/>
        </w:rPr>
        <w:lastRenderedPageBreak/>
        <w:t>reduction</w:t>
      </w:r>
      <w:r w:rsidRPr="00803874">
        <w:rPr>
          <w:lang w:val="en-US"/>
        </w:rPr>
        <w:t xml:space="preserve"> </w:t>
      </w:r>
      <w:r>
        <w:rPr>
          <w:lang w:val="en-US"/>
        </w:rPr>
        <w:t>of</w:t>
      </w:r>
      <w:r w:rsidRPr="00803874">
        <w:rPr>
          <w:lang w:val="en-US"/>
        </w:rPr>
        <w:t xml:space="preserve"> </w:t>
      </w:r>
      <w:r>
        <w:rPr>
          <w:lang w:val="en-US"/>
        </w:rPr>
        <w:t>average</w:t>
      </w:r>
      <w:r w:rsidRPr="00803874">
        <w:rPr>
          <w:lang w:val="en-US"/>
        </w:rPr>
        <w:t xml:space="preserve"> </w:t>
      </w:r>
      <w:r>
        <w:rPr>
          <w:lang w:val="en-US"/>
        </w:rPr>
        <w:t>lifespan</w:t>
      </w:r>
      <w:r w:rsidRPr="00803874">
        <w:rPr>
          <w:lang w:val="en-US"/>
        </w:rPr>
        <w:t xml:space="preserve"> (419 </w:t>
      </w:r>
      <w:r>
        <w:rPr>
          <w:lang w:val="en-US"/>
        </w:rPr>
        <w:t>days</w:t>
      </w:r>
      <w:r w:rsidRPr="00803874">
        <w:rPr>
          <w:lang w:val="en-US"/>
        </w:rPr>
        <w:t>)</w:t>
      </w:r>
      <w:r>
        <w:rPr>
          <w:lang w:val="en-US"/>
        </w:rPr>
        <w:t xml:space="preserve"> compared to intact control (699 days) and increase of tumors mainly due to malignant neoplasms</w:t>
      </w:r>
      <w:r w:rsidRPr="00803874">
        <w:rPr>
          <w:lang w:val="en-US"/>
        </w:rPr>
        <w:t>.</w:t>
      </w:r>
    </w:p>
    <w:p w14:paraId="7B86F569" w14:textId="77777777" w:rsidR="00791FF8" w:rsidRDefault="00791FF8" w:rsidP="00791FF8">
      <w:pPr>
        <w:spacing w:after="0" w:line="360" w:lineRule="auto"/>
        <w:jc w:val="both"/>
        <w:rPr>
          <w:b/>
          <w:lang w:val="en-US"/>
        </w:rPr>
      </w:pPr>
    </w:p>
    <w:p w14:paraId="0381A48D" w14:textId="77777777" w:rsidR="00791FF8" w:rsidRDefault="00C60708" w:rsidP="00791FF8">
      <w:pPr>
        <w:spacing w:after="0" w:line="360" w:lineRule="auto"/>
        <w:jc w:val="both"/>
        <w:rPr>
          <w:lang w:val="en-US"/>
        </w:rPr>
      </w:pPr>
      <w:r>
        <w:rPr>
          <w:b/>
          <w:lang w:val="en-US"/>
        </w:rPr>
        <w:t>Biological</w:t>
      </w:r>
      <w:r w:rsidRPr="00036989">
        <w:rPr>
          <w:b/>
          <w:lang w:val="en-US"/>
        </w:rPr>
        <w:t xml:space="preserve"> </w:t>
      </w:r>
      <w:r>
        <w:rPr>
          <w:b/>
          <w:lang w:val="en-US"/>
        </w:rPr>
        <w:t>material</w:t>
      </w:r>
      <w:r w:rsidRPr="00036989">
        <w:rPr>
          <w:lang w:val="en-US"/>
        </w:rPr>
        <w:t xml:space="preserve"> </w:t>
      </w:r>
    </w:p>
    <w:p w14:paraId="1F925BD0" w14:textId="41EF14A5" w:rsidR="00791FF8" w:rsidRDefault="00791FF8" w:rsidP="00791FF8">
      <w:pPr>
        <w:spacing w:after="0" w:line="360" w:lineRule="auto"/>
        <w:jc w:val="both"/>
        <w:rPr>
          <w:lang w:val="en-US"/>
        </w:rPr>
      </w:pPr>
      <w:r>
        <w:rPr>
          <w:lang w:val="en-US"/>
        </w:rPr>
        <w:t xml:space="preserve">Biomaterial is available </w:t>
      </w:r>
      <w:r w:rsidR="00C60708">
        <w:rPr>
          <w:lang w:val="en-US"/>
        </w:rPr>
        <w:t>from</w:t>
      </w:r>
      <w:r w:rsidR="00C60708" w:rsidRPr="00036989">
        <w:rPr>
          <w:lang w:val="en-US"/>
        </w:rPr>
        <w:t xml:space="preserve"> 221 </w:t>
      </w:r>
      <w:r w:rsidR="00C60708">
        <w:rPr>
          <w:lang w:val="en-US"/>
        </w:rPr>
        <w:t>rats</w:t>
      </w:r>
      <w:r w:rsidR="00C60708" w:rsidRPr="00036989">
        <w:rPr>
          <w:lang w:val="en-US"/>
        </w:rPr>
        <w:t xml:space="preserve"> </w:t>
      </w:r>
      <w:r w:rsidR="00C60708">
        <w:rPr>
          <w:lang w:val="en-US"/>
        </w:rPr>
        <w:t>as</w:t>
      </w:r>
      <w:r w:rsidR="00C60708" w:rsidRPr="00036989">
        <w:rPr>
          <w:lang w:val="en-US"/>
        </w:rPr>
        <w:t xml:space="preserve"> 2854 </w:t>
      </w:r>
      <w:r w:rsidR="00C60708">
        <w:rPr>
          <w:lang w:val="en-US"/>
        </w:rPr>
        <w:t>paraffin-fixed samples</w:t>
      </w:r>
      <w:r w:rsidR="00C60708" w:rsidRPr="00036989">
        <w:rPr>
          <w:lang w:val="en-US"/>
        </w:rPr>
        <w:t xml:space="preserve">. </w:t>
      </w:r>
      <w:r w:rsidR="00811C7D">
        <w:rPr>
          <w:lang w:val="en-US"/>
        </w:rPr>
        <w:t xml:space="preserve">The preparation method is described </w:t>
      </w:r>
      <w:r w:rsidR="00C82B54">
        <w:rPr>
          <w:lang w:val="en-US"/>
        </w:rPr>
        <w:t xml:space="preserve">in STOREDB File 10865, accessible through </w:t>
      </w:r>
      <w:hyperlink r:id="rId7" w:history="1">
        <w:r w:rsidR="00C82B54" w:rsidRPr="00A35318">
          <w:rPr>
            <w:rStyle w:val="Hyperlink"/>
            <w:lang w:val="en-US"/>
          </w:rPr>
          <w:t>http://dx.doi.org/doi:10.20348/STOREDB/1041/1070</w:t>
        </w:r>
      </w:hyperlink>
      <w:r w:rsidR="00C82B54">
        <w:rPr>
          <w:lang w:val="en-US"/>
        </w:rPr>
        <w:t xml:space="preserve"> .</w:t>
      </w:r>
    </w:p>
    <w:p w14:paraId="4CD902F1" w14:textId="77777777" w:rsidR="00791FF8" w:rsidRDefault="00791FF8" w:rsidP="00791FF8">
      <w:pPr>
        <w:spacing w:after="0" w:line="360" w:lineRule="auto"/>
        <w:jc w:val="both"/>
        <w:rPr>
          <w:lang w:val="en-US"/>
        </w:rPr>
      </w:pPr>
      <w:r>
        <w:rPr>
          <w:lang w:val="en-US"/>
        </w:rPr>
        <w:t xml:space="preserve">2805 samples from 181 rats </w:t>
      </w:r>
      <w:r w:rsidR="00C60708">
        <w:rPr>
          <w:lang w:val="en-US"/>
        </w:rPr>
        <w:t xml:space="preserve">are related to experiments on late effects of tritium oxide and external </w:t>
      </w:r>
      <w:r w:rsidR="00C60708">
        <w:t>γ</w:t>
      </w:r>
      <w:r w:rsidR="00C60708" w:rsidRPr="00624EDD">
        <w:rPr>
          <w:lang w:val="en-US"/>
        </w:rPr>
        <w:t>-</w:t>
      </w:r>
      <w:r w:rsidR="00C60708">
        <w:rPr>
          <w:lang w:val="en-US"/>
        </w:rPr>
        <w:t xml:space="preserve">radiation </w:t>
      </w:r>
      <w:r w:rsidR="00C60708" w:rsidRPr="00624EDD">
        <w:rPr>
          <w:lang w:val="en-US"/>
        </w:rPr>
        <w:t>(</w:t>
      </w:r>
      <w:r w:rsidR="00F01E7E">
        <w:rPr>
          <w:lang w:val="en-US"/>
        </w:rPr>
        <w:t>see Table 1</w:t>
      </w:r>
      <w:r w:rsidR="00C60708" w:rsidRPr="00624EDD">
        <w:rPr>
          <w:lang w:val="en-US"/>
        </w:rPr>
        <w:t xml:space="preserve">). </w:t>
      </w:r>
    </w:p>
    <w:p w14:paraId="3C52C339" w14:textId="77777777" w:rsidR="00C60708" w:rsidRPr="00EA5D89" w:rsidRDefault="00791FF8" w:rsidP="00791FF8">
      <w:pPr>
        <w:spacing w:after="0" w:line="360" w:lineRule="auto"/>
        <w:jc w:val="both"/>
        <w:rPr>
          <w:lang w:val="en-US"/>
        </w:rPr>
      </w:pPr>
      <w:r>
        <w:rPr>
          <w:lang w:val="en-US"/>
        </w:rPr>
        <w:t>49 samples from 40 rats are</w:t>
      </w:r>
      <w:r w:rsidR="00C60708" w:rsidRPr="00EA5D89">
        <w:rPr>
          <w:lang w:val="en-US"/>
        </w:rPr>
        <w:t xml:space="preserve"> </w:t>
      </w:r>
      <w:r w:rsidR="00C60708">
        <w:rPr>
          <w:lang w:val="en-US"/>
        </w:rPr>
        <w:t>related</w:t>
      </w:r>
      <w:r w:rsidR="00C60708" w:rsidRPr="00EA5D89">
        <w:rPr>
          <w:lang w:val="en-US"/>
        </w:rPr>
        <w:t xml:space="preserve"> </w:t>
      </w:r>
      <w:r w:rsidR="00C60708">
        <w:rPr>
          <w:lang w:val="en-US"/>
        </w:rPr>
        <w:t>to</w:t>
      </w:r>
      <w:r w:rsidR="00C60708" w:rsidRPr="00EA5D89">
        <w:rPr>
          <w:lang w:val="en-US"/>
        </w:rPr>
        <w:t xml:space="preserve"> </w:t>
      </w:r>
      <w:r w:rsidR="00C60708">
        <w:rPr>
          <w:lang w:val="en-US"/>
        </w:rPr>
        <w:t>the</w:t>
      </w:r>
      <w:r w:rsidR="00C60708" w:rsidRPr="00EA5D89">
        <w:rPr>
          <w:lang w:val="en-US"/>
        </w:rPr>
        <w:t xml:space="preserve"> </w:t>
      </w:r>
      <w:r w:rsidR="00C60708">
        <w:rPr>
          <w:lang w:val="en-US"/>
        </w:rPr>
        <w:t>experiment</w:t>
      </w:r>
      <w:r w:rsidR="00C60708" w:rsidRPr="00EA5D89">
        <w:rPr>
          <w:lang w:val="en-US"/>
        </w:rPr>
        <w:t xml:space="preserve"> </w:t>
      </w:r>
      <w:r w:rsidR="00C60708">
        <w:rPr>
          <w:lang w:val="en-US"/>
        </w:rPr>
        <w:t>on</w:t>
      </w:r>
      <w:r w:rsidR="00C60708" w:rsidRPr="00EA5D89">
        <w:rPr>
          <w:lang w:val="en-US"/>
        </w:rPr>
        <w:t xml:space="preserve"> </w:t>
      </w:r>
      <w:r w:rsidR="00C60708">
        <w:rPr>
          <w:lang w:val="en-US"/>
        </w:rPr>
        <w:t>dynamics</w:t>
      </w:r>
      <w:r w:rsidR="00C60708" w:rsidRPr="00EA5D89">
        <w:rPr>
          <w:lang w:val="en-US"/>
        </w:rPr>
        <w:t xml:space="preserve"> </w:t>
      </w:r>
      <w:r w:rsidR="00C60708">
        <w:rPr>
          <w:lang w:val="en-US"/>
        </w:rPr>
        <w:t>of</w:t>
      </w:r>
      <w:r w:rsidR="00C60708" w:rsidRPr="00EA5D89">
        <w:rPr>
          <w:lang w:val="en-US"/>
        </w:rPr>
        <w:t xml:space="preserve"> intestines </w:t>
      </w:r>
      <w:r w:rsidR="00C60708">
        <w:rPr>
          <w:lang w:val="en-US"/>
        </w:rPr>
        <w:t xml:space="preserve">cell elements damage in tritium tests </w:t>
      </w:r>
      <w:r w:rsidR="00C60708" w:rsidRPr="00EA5D89">
        <w:rPr>
          <w:lang w:val="en-US"/>
        </w:rPr>
        <w:t xml:space="preserve">(37 </w:t>
      </w:r>
      <w:r w:rsidR="00C60708">
        <w:rPr>
          <w:lang w:val="en-US"/>
        </w:rPr>
        <w:t>rats</w:t>
      </w:r>
      <w:r w:rsidR="00C60708" w:rsidRPr="00EA5D89">
        <w:rPr>
          <w:lang w:val="en-US"/>
        </w:rPr>
        <w:t xml:space="preserve">, 46 </w:t>
      </w:r>
      <w:r w:rsidR="00C60708">
        <w:rPr>
          <w:lang w:val="en-US"/>
        </w:rPr>
        <w:t>samples</w:t>
      </w:r>
      <w:r w:rsidR="00C60708" w:rsidRPr="00EA5D89">
        <w:rPr>
          <w:lang w:val="en-US"/>
        </w:rPr>
        <w:t xml:space="preserve">) </w:t>
      </w:r>
      <w:r w:rsidR="00C60708">
        <w:rPr>
          <w:lang w:val="en-US"/>
        </w:rPr>
        <w:t>and in control (3 rats,</w:t>
      </w:r>
      <w:r w:rsidR="00C60708" w:rsidRPr="00EA5D89">
        <w:rPr>
          <w:lang w:val="en-US"/>
        </w:rPr>
        <w:t xml:space="preserve"> 3 </w:t>
      </w:r>
      <w:r w:rsidR="00C60708">
        <w:rPr>
          <w:lang w:val="en-US"/>
        </w:rPr>
        <w:t>samples</w:t>
      </w:r>
      <w:r w:rsidR="00C60708" w:rsidRPr="00EA5D89">
        <w:rPr>
          <w:lang w:val="en-US"/>
        </w:rPr>
        <w:t>)</w:t>
      </w:r>
      <w:r w:rsidR="003271ED">
        <w:rPr>
          <w:lang w:val="en-US"/>
        </w:rPr>
        <w:t xml:space="preserve">. The </w:t>
      </w:r>
      <w:r w:rsidR="00F01E7E">
        <w:rPr>
          <w:lang w:val="en-US"/>
        </w:rPr>
        <w:t xml:space="preserve">samples </w:t>
      </w:r>
      <w:r w:rsidR="00F01E7E" w:rsidRPr="00EA5D89">
        <w:rPr>
          <w:lang w:val="en-US"/>
        </w:rPr>
        <w:t>contain</w:t>
      </w:r>
      <w:r w:rsidR="00C60708">
        <w:rPr>
          <w:lang w:val="en-US"/>
        </w:rPr>
        <w:t xml:space="preserve"> material obtained after </w:t>
      </w:r>
      <w:r w:rsidR="00C60708" w:rsidRPr="00EA5D89">
        <w:rPr>
          <w:lang w:val="en-US"/>
        </w:rPr>
        <w:t>3,</w:t>
      </w:r>
      <w:r w:rsidR="003271ED">
        <w:rPr>
          <w:lang w:val="en-US"/>
        </w:rPr>
        <w:t xml:space="preserve"> </w:t>
      </w:r>
      <w:r w:rsidR="00C60708" w:rsidRPr="00EA5D89">
        <w:rPr>
          <w:lang w:val="en-US"/>
        </w:rPr>
        <w:t>6,</w:t>
      </w:r>
      <w:r w:rsidR="003271ED">
        <w:rPr>
          <w:lang w:val="en-US"/>
        </w:rPr>
        <w:t xml:space="preserve"> </w:t>
      </w:r>
      <w:r w:rsidR="00C60708" w:rsidRPr="00EA5D89">
        <w:rPr>
          <w:lang w:val="en-US"/>
        </w:rPr>
        <w:t xml:space="preserve">12 </w:t>
      </w:r>
      <w:r w:rsidR="00C60708">
        <w:rPr>
          <w:lang w:val="en-US"/>
        </w:rPr>
        <w:t>and</w:t>
      </w:r>
      <w:r w:rsidR="00C60708" w:rsidRPr="00EA5D89">
        <w:rPr>
          <w:lang w:val="en-US"/>
        </w:rPr>
        <w:t xml:space="preserve"> 24 </w:t>
      </w:r>
      <w:r w:rsidR="00C60708">
        <w:rPr>
          <w:lang w:val="en-US"/>
        </w:rPr>
        <w:t>hours</w:t>
      </w:r>
      <w:r w:rsidR="00C60708" w:rsidRPr="00EA5D89">
        <w:rPr>
          <w:lang w:val="en-US"/>
        </w:rPr>
        <w:t xml:space="preserve"> (</w:t>
      </w:r>
      <w:r w:rsidR="00C60708" w:rsidRPr="00EA5D89">
        <w:rPr>
          <w:vertAlign w:val="superscript"/>
          <w:lang w:val="en-US"/>
        </w:rPr>
        <w:t>3</w:t>
      </w:r>
      <w:r w:rsidR="00C60708">
        <w:t>НОН</w:t>
      </w:r>
      <w:r w:rsidR="00C60708" w:rsidRPr="00EA5D89">
        <w:rPr>
          <w:lang w:val="en-US"/>
        </w:rPr>
        <w:t xml:space="preserve">) </w:t>
      </w:r>
      <w:r w:rsidR="00C60708">
        <w:rPr>
          <w:lang w:val="en-US"/>
        </w:rPr>
        <w:t>and</w:t>
      </w:r>
      <w:r w:rsidR="00C60708" w:rsidRPr="00EA5D89">
        <w:rPr>
          <w:lang w:val="en-US"/>
        </w:rPr>
        <w:t xml:space="preserve"> 6,</w:t>
      </w:r>
      <w:r w:rsidR="003271ED">
        <w:rPr>
          <w:lang w:val="en-US"/>
        </w:rPr>
        <w:t xml:space="preserve"> </w:t>
      </w:r>
      <w:r w:rsidR="00C60708" w:rsidRPr="00EA5D89">
        <w:rPr>
          <w:lang w:val="en-US"/>
        </w:rPr>
        <w:t xml:space="preserve">12 </w:t>
      </w:r>
      <w:r w:rsidR="00C60708">
        <w:rPr>
          <w:lang w:val="en-US"/>
        </w:rPr>
        <w:t>hours</w:t>
      </w:r>
      <w:r w:rsidR="00C60708" w:rsidRPr="00EA5D89">
        <w:rPr>
          <w:lang w:val="en-US"/>
        </w:rPr>
        <w:t xml:space="preserve"> (</w:t>
      </w:r>
      <w:r w:rsidR="00C60708">
        <w:rPr>
          <w:lang w:val="en-US"/>
        </w:rPr>
        <w:t>control</w:t>
      </w:r>
      <w:r w:rsidR="00C60708" w:rsidRPr="00EA5D89">
        <w:rPr>
          <w:lang w:val="en-US"/>
        </w:rPr>
        <w:t>).</w:t>
      </w:r>
    </w:p>
    <w:p w14:paraId="4E183C38" w14:textId="77777777" w:rsidR="005F0080" w:rsidRDefault="00CF3F90">
      <w:pPr>
        <w:rPr>
          <w:lang w:val="en-US"/>
        </w:rPr>
      </w:pPr>
    </w:p>
    <w:p w14:paraId="28B09F65" w14:textId="77777777" w:rsidR="003D5711" w:rsidRPr="003D5711" w:rsidRDefault="003D5711" w:rsidP="003D5711">
      <w:pPr>
        <w:spacing w:after="0" w:line="360" w:lineRule="auto"/>
        <w:rPr>
          <w:b/>
          <w:lang w:val="en-US"/>
        </w:rPr>
      </w:pPr>
      <w:r w:rsidRPr="003D5711">
        <w:rPr>
          <w:b/>
          <w:lang w:val="en-US"/>
        </w:rPr>
        <w:t>Contact information</w:t>
      </w:r>
    </w:p>
    <w:p w14:paraId="198BF131" w14:textId="351FFF43" w:rsidR="003D5711" w:rsidRDefault="003D5711" w:rsidP="003D5711">
      <w:pPr>
        <w:rPr>
          <w:lang w:val="en-US"/>
        </w:rPr>
      </w:pPr>
      <w:r w:rsidRPr="0074356D">
        <w:rPr>
          <w:lang w:val="en-US"/>
        </w:rPr>
        <w:t>If you want to use the material you should contact SUBI through</w:t>
      </w:r>
      <w:r>
        <w:rPr>
          <w:lang w:val="en-US"/>
        </w:rPr>
        <w:t xml:space="preserve"> </w:t>
      </w:r>
      <w:hyperlink r:id="rId8" w:history="1">
        <w:r w:rsidRPr="00A35318">
          <w:rPr>
            <w:rStyle w:val="Hyperlink"/>
            <w:lang w:val="en-US"/>
          </w:rPr>
          <w:t>inter_dep@subi.su</w:t>
        </w:r>
      </w:hyperlink>
      <w:r w:rsidRPr="0074356D">
        <w:rPr>
          <w:lang w:val="en-US"/>
        </w:rPr>
        <w:t>.</w:t>
      </w:r>
      <w:r>
        <w:rPr>
          <w:lang w:val="en-US"/>
        </w:rPr>
        <w:t xml:space="preserve"> </w:t>
      </w:r>
      <w:r w:rsidRPr="0074356D">
        <w:rPr>
          <w:lang w:val="en-US"/>
        </w:rPr>
        <w:t xml:space="preserve">If you have </w:t>
      </w:r>
      <w:r>
        <w:rPr>
          <w:lang w:val="en-US"/>
        </w:rPr>
        <w:t xml:space="preserve">any </w:t>
      </w:r>
      <w:r w:rsidRPr="0074356D">
        <w:rPr>
          <w:lang w:val="en-US"/>
        </w:rPr>
        <w:t xml:space="preserve">questions regarding this short summary report, </w:t>
      </w:r>
      <w:r>
        <w:rPr>
          <w:lang w:val="en-US"/>
        </w:rPr>
        <w:t>please</w:t>
      </w:r>
      <w:r w:rsidRPr="0074356D">
        <w:rPr>
          <w:lang w:val="en-US"/>
        </w:rPr>
        <w:t xml:space="preserve"> contact Dr. Bernd Grosche (</w:t>
      </w:r>
      <w:hyperlink r:id="rId9" w:history="1">
        <w:r w:rsidRPr="00A35318">
          <w:rPr>
            <w:rStyle w:val="Hyperlink"/>
            <w:lang w:val="en-US"/>
          </w:rPr>
          <w:t>bgrosche@t-online.de</w:t>
        </w:r>
      </w:hyperlink>
      <w:r w:rsidRPr="0074356D">
        <w:rPr>
          <w:lang w:val="en-US"/>
        </w:rPr>
        <w:t>).</w:t>
      </w:r>
    </w:p>
    <w:bookmarkEnd w:id="0"/>
    <w:p w14:paraId="1EF7E97D" w14:textId="77777777" w:rsidR="00884327" w:rsidRDefault="00884327" w:rsidP="003D5711">
      <w:pPr>
        <w:rPr>
          <w:lang w:val="en-US"/>
        </w:rPr>
      </w:pPr>
    </w:p>
    <w:p w14:paraId="5B28DE69" w14:textId="77777777" w:rsidR="00CF3F90" w:rsidRDefault="00CF3F90" w:rsidP="003D5711">
      <w:pPr>
        <w:rPr>
          <w:lang w:val="en-US"/>
        </w:rPr>
        <w:sectPr w:rsidR="00CF3F90">
          <w:pgSz w:w="11906" w:h="16838"/>
          <w:pgMar w:top="1417" w:right="1417" w:bottom="1134" w:left="1417" w:header="708" w:footer="708" w:gutter="0"/>
          <w:cols w:space="708"/>
          <w:docGrid w:linePitch="360"/>
        </w:sectPr>
      </w:pPr>
    </w:p>
    <w:p w14:paraId="49E94F9D" w14:textId="77777777" w:rsidR="00CF3F90" w:rsidRDefault="00CF3F90" w:rsidP="00CF3F90">
      <w:pPr>
        <w:spacing w:after="0" w:line="240" w:lineRule="auto"/>
      </w:pPr>
    </w:p>
    <w:p w14:paraId="16A02257" w14:textId="77777777" w:rsidR="00CF3F90" w:rsidRDefault="00CF3F90" w:rsidP="00CF3F90">
      <w:pPr>
        <w:spacing w:after="0" w:line="240" w:lineRule="auto"/>
      </w:pPr>
    </w:p>
    <w:p w14:paraId="18521117" w14:textId="77777777" w:rsidR="00CF3F90" w:rsidRPr="00315D2D" w:rsidRDefault="00CF3F90" w:rsidP="00CF3F90">
      <w:pPr>
        <w:spacing w:after="0" w:line="360" w:lineRule="auto"/>
        <w:jc w:val="both"/>
        <w:rPr>
          <w:b/>
          <w:i/>
          <w:lang w:val="en-US"/>
        </w:rPr>
      </w:pPr>
      <w:r>
        <w:rPr>
          <w:b/>
          <w:lang w:val="en-US"/>
        </w:rPr>
        <w:t xml:space="preserve">Contract </w:t>
      </w:r>
      <w:r w:rsidRPr="00D7048B">
        <w:rPr>
          <w:b/>
          <w:lang w:val="en-US"/>
        </w:rPr>
        <w:t>75311</w:t>
      </w:r>
      <w:r>
        <w:rPr>
          <w:b/>
          <w:lang w:val="en-US"/>
        </w:rPr>
        <w:t xml:space="preserve"> – Table 1: Q</w:t>
      </w:r>
      <w:r w:rsidRPr="006A7FE3">
        <w:rPr>
          <w:b/>
          <w:lang w:val="en-US"/>
        </w:rPr>
        <w:t>uantitative</w:t>
      </w:r>
      <w:r w:rsidRPr="00FE4670">
        <w:rPr>
          <w:b/>
          <w:lang w:val="en-US"/>
        </w:rPr>
        <w:t xml:space="preserve"> </w:t>
      </w:r>
      <w:r w:rsidRPr="006A7FE3">
        <w:rPr>
          <w:b/>
          <w:lang w:val="en-US"/>
        </w:rPr>
        <w:t>assessment</w:t>
      </w:r>
      <w:r w:rsidRPr="00FE4670">
        <w:rPr>
          <w:b/>
          <w:lang w:val="en-US"/>
        </w:rPr>
        <w:t xml:space="preserve"> </w:t>
      </w:r>
      <w:r>
        <w:rPr>
          <w:b/>
          <w:lang w:val="en-US"/>
        </w:rPr>
        <w:t>of</w:t>
      </w:r>
      <w:r w:rsidRPr="00FE4670">
        <w:rPr>
          <w:b/>
          <w:lang w:val="en-US"/>
        </w:rPr>
        <w:t xml:space="preserve"> </w:t>
      </w:r>
      <w:r>
        <w:rPr>
          <w:b/>
          <w:lang w:val="en-US"/>
        </w:rPr>
        <w:t>biomaterial</w:t>
      </w:r>
      <w:r w:rsidRPr="00FE4670">
        <w:rPr>
          <w:b/>
          <w:lang w:val="en-US"/>
        </w:rPr>
        <w:t xml:space="preserve"> </w:t>
      </w:r>
      <w:r>
        <w:rPr>
          <w:b/>
          <w:lang w:val="en-US"/>
        </w:rPr>
        <w:t>from</w:t>
      </w:r>
      <w:r w:rsidRPr="00FE4670">
        <w:rPr>
          <w:b/>
          <w:lang w:val="en-US"/>
        </w:rPr>
        <w:t xml:space="preserve"> </w:t>
      </w:r>
      <w:r>
        <w:rPr>
          <w:b/>
          <w:lang w:val="en-US"/>
        </w:rPr>
        <w:t xml:space="preserve">rats </w:t>
      </w:r>
    </w:p>
    <w:p w14:paraId="1F665CA6" w14:textId="77777777" w:rsidR="00CF3F90" w:rsidRPr="00D7048B" w:rsidRDefault="00CF3F90" w:rsidP="00CF3F90">
      <w:pPr>
        <w:spacing w:after="0" w:line="240" w:lineRule="auto"/>
        <w:rPr>
          <w:b/>
          <w:lang w:val="en-US"/>
        </w:rPr>
      </w:pPr>
    </w:p>
    <w:tbl>
      <w:tblPr>
        <w:tblW w:w="12967"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9"/>
        <w:gridCol w:w="1319"/>
        <w:gridCol w:w="1320"/>
        <w:gridCol w:w="1320"/>
        <w:gridCol w:w="1533"/>
        <w:gridCol w:w="987"/>
        <w:gridCol w:w="1898"/>
        <w:gridCol w:w="1276"/>
        <w:gridCol w:w="1276"/>
      </w:tblGrid>
      <w:tr w:rsidR="00CF3F90" w14:paraId="0F9FD702" w14:textId="77777777" w:rsidTr="00E83822">
        <w:trPr>
          <w:trHeight w:val="369"/>
        </w:trPr>
        <w:tc>
          <w:tcPr>
            <w:tcW w:w="1199" w:type="dxa"/>
            <w:vMerge w:val="restart"/>
          </w:tcPr>
          <w:p w14:paraId="34FD161C" w14:textId="77777777" w:rsidR="00CF3F90" w:rsidRPr="00C54D49" w:rsidRDefault="00CF3F90" w:rsidP="00E83822">
            <w:pPr>
              <w:spacing w:after="0" w:line="240" w:lineRule="auto"/>
              <w:jc w:val="center"/>
              <w:rPr>
                <w:lang w:val="en-US"/>
              </w:rPr>
            </w:pPr>
            <w:r>
              <w:rPr>
                <w:lang w:val="en-US"/>
              </w:rPr>
              <w:t>Group</w:t>
            </w:r>
          </w:p>
        </w:tc>
        <w:tc>
          <w:tcPr>
            <w:tcW w:w="9216" w:type="dxa"/>
            <w:gridSpan w:val="7"/>
          </w:tcPr>
          <w:p w14:paraId="6C4606C9" w14:textId="77777777" w:rsidR="00CF3F90" w:rsidRPr="00C54D49" w:rsidRDefault="00CF3F90" w:rsidP="00E83822">
            <w:pPr>
              <w:spacing w:after="0" w:line="240" w:lineRule="auto"/>
              <w:jc w:val="center"/>
              <w:rPr>
                <w:lang w:val="en-US"/>
              </w:rPr>
            </w:pPr>
            <w:r>
              <w:rPr>
                <w:lang w:val="en-US"/>
              </w:rPr>
              <w:t>Different exposure factors</w:t>
            </w:r>
          </w:p>
        </w:tc>
        <w:tc>
          <w:tcPr>
            <w:tcW w:w="2552" w:type="dxa"/>
            <w:gridSpan w:val="2"/>
          </w:tcPr>
          <w:p w14:paraId="557F4C52" w14:textId="77777777" w:rsidR="00CF3F90" w:rsidRDefault="00CF3F90" w:rsidP="00E83822">
            <w:pPr>
              <w:spacing w:after="0" w:line="240" w:lineRule="auto"/>
              <w:jc w:val="center"/>
            </w:pPr>
            <w:r>
              <w:rPr>
                <w:sz w:val="22"/>
                <w:szCs w:val="22"/>
                <w:lang w:val="en-US"/>
              </w:rPr>
              <w:t>Number of rats</w:t>
            </w:r>
            <w:r>
              <w:t>, ♂</w:t>
            </w:r>
          </w:p>
        </w:tc>
      </w:tr>
      <w:tr w:rsidR="00CF3F90" w14:paraId="53DE1849" w14:textId="77777777" w:rsidTr="00E83822">
        <w:trPr>
          <w:trHeight w:val="397"/>
        </w:trPr>
        <w:tc>
          <w:tcPr>
            <w:tcW w:w="1199" w:type="dxa"/>
            <w:vMerge/>
          </w:tcPr>
          <w:p w14:paraId="02082CD1" w14:textId="77777777" w:rsidR="00CF3F90" w:rsidRDefault="00CF3F90" w:rsidP="00E83822">
            <w:pPr>
              <w:spacing w:after="0" w:line="240" w:lineRule="auto"/>
              <w:jc w:val="center"/>
            </w:pPr>
          </w:p>
        </w:tc>
        <w:tc>
          <w:tcPr>
            <w:tcW w:w="7318" w:type="dxa"/>
            <w:gridSpan w:val="6"/>
          </w:tcPr>
          <w:p w14:paraId="0EABED2D" w14:textId="77777777" w:rsidR="00CF3F90" w:rsidRDefault="00CF3F90" w:rsidP="00E83822">
            <w:pPr>
              <w:spacing w:after="0" w:line="240" w:lineRule="auto"/>
              <w:jc w:val="center"/>
            </w:pPr>
            <w:r>
              <w:rPr>
                <w:sz w:val="22"/>
                <w:szCs w:val="22"/>
                <w:lang w:val="en-US"/>
              </w:rPr>
              <w:t>Ionizing radiation</w:t>
            </w:r>
            <w:r w:rsidRPr="00604EDA">
              <w:rPr>
                <w:sz w:val="22"/>
                <w:szCs w:val="22"/>
              </w:rPr>
              <w:t xml:space="preserve"> (</w:t>
            </w:r>
            <w:r>
              <w:rPr>
                <w:sz w:val="22"/>
                <w:szCs w:val="22"/>
                <w:lang w:val="en-US"/>
              </w:rPr>
              <w:t>IR</w:t>
            </w:r>
            <w:r w:rsidRPr="00604EDA">
              <w:rPr>
                <w:sz w:val="22"/>
                <w:szCs w:val="22"/>
              </w:rPr>
              <w:t>)</w:t>
            </w:r>
          </w:p>
        </w:tc>
        <w:tc>
          <w:tcPr>
            <w:tcW w:w="1898" w:type="dxa"/>
          </w:tcPr>
          <w:p w14:paraId="74B68102" w14:textId="77777777" w:rsidR="00CF3F90" w:rsidRPr="00C54D49" w:rsidRDefault="00CF3F90" w:rsidP="00E83822">
            <w:pPr>
              <w:spacing w:after="0" w:line="240" w:lineRule="auto"/>
              <w:jc w:val="center"/>
              <w:rPr>
                <w:lang w:val="en-US"/>
              </w:rPr>
            </w:pPr>
            <w:r>
              <w:rPr>
                <w:lang w:val="en-US"/>
              </w:rPr>
              <w:t>Other factors</w:t>
            </w:r>
          </w:p>
        </w:tc>
        <w:tc>
          <w:tcPr>
            <w:tcW w:w="1276" w:type="dxa"/>
            <w:vMerge w:val="restart"/>
          </w:tcPr>
          <w:p w14:paraId="18801A46" w14:textId="77777777" w:rsidR="00CF3F90" w:rsidRDefault="00CF3F90" w:rsidP="00E83822">
            <w:pPr>
              <w:spacing w:after="0" w:line="240" w:lineRule="auto"/>
              <w:jc w:val="center"/>
            </w:pPr>
            <w:r>
              <w:rPr>
                <w:lang w:val="en-US"/>
              </w:rPr>
              <w:t>Used in test</w:t>
            </w:r>
            <w:r>
              <w:t>,</w:t>
            </w:r>
          </w:p>
          <w:p w14:paraId="057C9C51" w14:textId="77777777" w:rsidR="00CF3F90" w:rsidRPr="0074163C" w:rsidRDefault="00CF3F90" w:rsidP="00E83822">
            <w:pPr>
              <w:spacing w:after="0" w:line="240" w:lineRule="auto"/>
              <w:jc w:val="center"/>
              <w:rPr>
                <w:lang w:val="en-US"/>
              </w:rPr>
            </w:pPr>
            <w:proofErr w:type="spellStart"/>
            <w:r>
              <w:rPr>
                <w:lang w:val="en-US"/>
              </w:rPr>
              <w:t>L</w:t>
            </w:r>
            <w:r>
              <w:rPr>
                <w:vertAlign w:val="subscript"/>
                <w:lang w:val="en-US"/>
              </w:rPr>
              <w:t>p</w:t>
            </w:r>
            <w:proofErr w:type="spellEnd"/>
          </w:p>
        </w:tc>
        <w:tc>
          <w:tcPr>
            <w:tcW w:w="1276" w:type="dxa"/>
            <w:vMerge w:val="restart"/>
          </w:tcPr>
          <w:p w14:paraId="18857B56" w14:textId="77777777" w:rsidR="00CF3F90" w:rsidRPr="00627520" w:rsidRDefault="00CF3F90" w:rsidP="00E83822">
            <w:pPr>
              <w:spacing w:after="0" w:line="240" w:lineRule="auto"/>
              <w:jc w:val="center"/>
              <w:rPr>
                <w:lang w:val="en-US"/>
              </w:rPr>
            </w:pPr>
            <w:r>
              <w:rPr>
                <w:lang w:val="en-US"/>
              </w:rPr>
              <w:t>samples</w:t>
            </w:r>
          </w:p>
          <w:p w14:paraId="53D956A7" w14:textId="77777777" w:rsidR="00CF3F90" w:rsidRPr="001325FE" w:rsidRDefault="00CF3F90" w:rsidP="00E83822">
            <w:pPr>
              <w:spacing w:after="0" w:line="240" w:lineRule="auto"/>
              <w:jc w:val="center"/>
              <w:rPr>
                <w:sz w:val="20"/>
                <w:szCs w:val="20"/>
              </w:rPr>
            </w:pPr>
            <w:r w:rsidRPr="001325FE">
              <w:rPr>
                <w:sz w:val="20"/>
                <w:szCs w:val="20"/>
              </w:rPr>
              <w:t>(</w:t>
            </w:r>
            <w:r>
              <w:rPr>
                <w:sz w:val="20"/>
                <w:szCs w:val="20"/>
                <w:lang w:val="en-US"/>
              </w:rPr>
              <w:t>paraffin</w:t>
            </w:r>
            <w:r w:rsidRPr="001325FE">
              <w:rPr>
                <w:sz w:val="20"/>
                <w:szCs w:val="20"/>
              </w:rPr>
              <w:t>)</w:t>
            </w:r>
          </w:p>
        </w:tc>
      </w:tr>
      <w:tr w:rsidR="00CF3F90" w14:paraId="0F7BFC43" w14:textId="77777777" w:rsidTr="00E83822">
        <w:trPr>
          <w:trHeight w:val="555"/>
        </w:trPr>
        <w:tc>
          <w:tcPr>
            <w:tcW w:w="1199" w:type="dxa"/>
            <w:vMerge/>
          </w:tcPr>
          <w:p w14:paraId="0A569DA3" w14:textId="77777777" w:rsidR="00CF3F90" w:rsidRDefault="00CF3F90" w:rsidP="00E83822">
            <w:pPr>
              <w:spacing w:after="0" w:line="240" w:lineRule="auto"/>
              <w:jc w:val="center"/>
            </w:pPr>
          </w:p>
        </w:tc>
        <w:tc>
          <w:tcPr>
            <w:tcW w:w="839" w:type="dxa"/>
          </w:tcPr>
          <w:p w14:paraId="37EA2605" w14:textId="77777777" w:rsidR="00CF3F90" w:rsidRPr="00C92B80" w:rsidRDefault="00CF3F90" w:rsidP="00E83822">
            <w:pPr>
              <w:spacing w:after="0" w:line="240" w:lineRule="auto"/>
              <w:jc w:val="center"/>
              <w:rPr>
                <w:sz w:val="22"/>
                <w:szCs w:val="22"/>
                <w:lang w:val="en-US"/>
              </w:rPr>
            </w:pPr>
            <w:r>
              <w:rPr>
                <w:sz w:val="22"/>
                <w:szCs w:val="22"/>
                <w:lang w:val="en-US"/>
              </w:rPr>
              <w:t>type</w:t>
            </w:r>
          </w:p>
        </w:tc>
        <w:tc>
          <w:tcPr>
            <w:tcW w:w="1319" w:type="dxa"/>
          </w:tcPr>
          <w:p w14:paraId="2CC16350" w14:textId="77777777" w:rsidR="00CF3F90" w:rsidRPr="00C92B80" w:rsidRDefault="00CF3F90" w:rsidP="00E83822">
            <w:pPr>
              <w:spacing w:after="0" w:line="240" w:lineRule="auto"/>
              <w:jc w:val="center"/>
              <w:rPr>
                <w:sz w:val="22"/>
                <w:szCs w:val="22"/>
                <w:lang w:val="en-US"/>
              </w:rPr>
            </w:pPr>
            <w:r>
              <w:rPr>
                <w:sz w:val="22"/>
                <w:szCs w:val="22"/>
                <w:lang w:val="en-US"/>
              </w:rPr>
              <w:t>source</w:t>
            </w:r>
          </w:p>
        </w:tc>
        <w:tc>
          <w:tcPr>
            <w:tcW w:w="1320" w:type="dxa"/>
          </w:tcPr>
          <w:p w14:paraId="120BB135" w14:textId="77777777" w:rsidR="00CF3F90" w:rsidRPr="00611CFE" w:rsidRDefault="00CF3F90" w:rsidP="00E83822">
            <w:pPr>
              <w:spacing w:after="0" w:line="240" w:lineRule="auto"/>
              <w:jc w:val="center"/>
              <w:rPr>
                <w:lang w:val="en-US"/>
              </w:rPr>
            </w:pPr>
            <w:r>
              <w:rPr>
                <w:lang w:val="en-US"/>
              </w:rPr>
              <w:t>Delivery route</w:t>
            </w:r>
          </w:p>
        </w:tc>
        <w:tc>
          <w:tcPr>
            <w:tcW w:w="1320" w:type="dxa"/>
          </w:tcPr>
          <w:p w14:paraId="6599FA1F" w14:textId="77777777" w:rsidR="00CF3F90" w:rsidRDefault="00CF3F90" w:rsidP="00E83822">
            <w:pPr>
              <w:spacing w:after="0" w:line="240" w:lineRule="auto"/>
              <w:jc w:val="center"/>
            </w:pPr>
            <w:r>
              <w:rPr>
                <w:sz w:val="22"/>
                <w:szCs w:val="22"/>
                <w:lang w:val="en-US"/>
              </w:rPr>
              <w:t>Dose approach</w:t>
            </w:r>
          </w:p>
        </w:tc>
        <w:tc>
          <w:tcPr>
            <w:tcW w:w="1533" w:type="dxa"/>
          </w:tcPr>
          <w:p w14:paraId="5F1D561F" w14:textId="77777777" w:rsidR="00CF3F90" w:rsidRPr="000C303B" w:rsidRDefault="00CF3F90" w:rsidP="00E83822">
            <w:pPr>
              <w:spacing w:after="0" w:line="240" w:lineRule="auto"/>
              <w:jc w:val="center"/>
              <w:rPr>
                <w:lang w:val="en-US"/>
              </w:rPr>
            </w:pPr>
            <w:r>
              <w:rPr>
                <w:sz w:val="20"/>
                <w:szCs w:val="20"/>
              </w:rPr>
              <w:t>Administ</w:t>
            </w:r>
            <w:proofErr w:type="spellStart"/>
            <w:r>
              <w:rPr>
                <w:sz w:val="20"/>
                <w:szCs w:val="20"/>
                <w:lang w:val="en-US"/>
              </w:rPr>
              <w:t>ered</w:t>
            </w:r>
            <w:proofErr w:type="spellEnd"/>
            <w:r>
              <w:rPr>
                <w:sz w:val="20"/>
                <w:szCs w:val="20"/>
              </w:rPr>
              <w:t xml:space="preserve"> </w:t>
            </w:r>
            <w:r>
              <w:rPr>
                <w:sz w:val="20"/>
                <w:szCs w:val="20"/>
                <w:lang w:val="en-US"/>
              </w:rPr>
              <w:t>amount</w:t>
            </w:r>
          </w:p>
        </w:tc>
        <w:tc>
          <w:tcPr>
            <w:tcW w:w="987" w:type="dxa"/>
          </w:tcPr>
          <w:p w14:paraId="037DBB75" w14:textId="77777777" w:rsidR="00CF3F90" w:rsidRDefault="00CF3F90" w:rsidP="00E83822">
            <w:pPr>
              <w:spacing w:after="0" w:line="240" w:lineRule="auto"/>
              <w:jc w:val="center"/>
            </w:pPr>
            <w:r>
              <w:rPr>
                <w:lang w:val="en-US"/>
              </w:rPr>
              <w:t>Dose</w:t>
            </w:r>
            <w:r>
              <w:t>,</w:t>
            </w:r>
          </w:p>
          <w:p w14:paraId="098D22F7" w14:textId="77777777" w:rsidR="00CF3F90" w:rsidRPr="00E43960" w:rsidRDefault="00CF3F90" w:rsidP="00E83822">
            <w:pPr>
              <w:spacing w:after="0" w:line="240" w:lineRule="auto"/>
              <w:jc w:val="center"/>
              <w:rPr>
                <w:lang w:val="en-US"/>
              </w:rPr>
            </w:pPr>
            <w:proofErr w:type="spellStart"/>
            <w:r>
              <w:rPr>
                <w:lang w:val="en-US"/>
              </w:rPr>
              <w:t>Gy</w:t>
            </w:r>
            <w:proofErr w:type="spellEnd"/>
          </w:p>
        </w:tc>
        <w:tc>
          <w:tcPr>
            <w:tcW w:w="1898" w:type="dxa"/>
          </w:tcPr>
          <w:p w14:paraId="06831EB2" w14:textId="77777777" w:rsidR="00CF3F90" w:rsidRDefault="00CF3F90" w:rsidP="00E83822">
            <w:pPr>
              <w:spacing w:after="0" w:line="240" w:lineRule="auto"/>
              <w:jc w:val="center"/>
              <w:rPr>
                <w:lang w:val="en-US"/>
              </w:rPr>
            </w:pPr>
            <w:proofErr w:type="spellStart"/>
            <w:r>
              <w:rPr>
                <w:lang w:val="en-US"/>
              </w:rPr>
              <w:t>Characteris</w:t>
            </w:r>
            <w:proofErr w:type="spellEnd"/>
          </w:p>
          <w:p w14:paraId="6F3D58A5" w14:textId="77777777" w:rsidR="00CF3F90" w:rsidRPr="00480C43" w:rsidRDefault="00CF3F90" w:rsidP="00E83822">
            <w:pPr>
              <w:spacing w:after="0" w:line="240" w:lineRule="auto"/>
              <w:jc w:val="center"/>
              <w:rPr>
                <w:lang w:val="en-US"/>
              </w:rPr>
            </w:pPr>
            <w:r>
              <w:rPr>
                <w:lang w:val="en-US"/>
              </w:rPr>
              <w:t>tics</w:t>
            </w:r>
          </w:p>
        </w:tc>
        <w:tc>
          <w:tcPr>
            <w:tcW w:w="1276" w:type="dxa"/>
            <w:vMerge/>
          </w:tcPr>
          <w:p w14:paraId="1F7EA4CF" w14:textId="77777777" w:rsidR="00CF3F90" w:rsidRDefault="00CF3F90" w:rsidP="00E83822">
            <w:pPr>
              <w:spacing w:after="0" w:line="240" w:lineRule="auto"/>
              <w:jc w:val="center"/>
            </w:pPr>
          </w:p>
        </w:tc>
        <w:tc>
          <w:tcPr>
            <w:tcW w:w="1276" w:type="dxa"/>
            <w:vMerge/>
          </w:tcPr>
          <w:p w14:paraId="58855E35" w14:textId="77777777" w:rsidR="00CF3F90" w:rsidRDefault="00CF3F90" w:rsidP="00E83822">
            <w:pPr>
              <w:spacing w:after="0" w:line="240" w:lineRule="auto"/>
              <w:jc w:val="center"/>
            </w:pPr>
          </w:p>
        </w:tc>
      </w:tr>
      <w:tr w:rsidR="00CF3F90" w14:paraId="59A9F849" w14:textId="77777777" w:rsidTr="00E83822">
        <w:trPr>
          <w:trHeight w:val="801"/>
        </w:trPr>
        <w:tc>
          <w:tcPr>
            <w:tcW w:w="1199" w:type="dxa"/>
          </w:tcPr>
          <w:p w14:paraId="22894420" w14:textId="77777777" w:rsidR="00CF3F90" w:rsidRDefault="00CF3F90" w:rsidP="00E83822">
            <w:pPr>
              <w:spacing w:after="0" w:line="240" w:lineRule="auto"/>
              <w:jc w:val="center"/>
            </w:pPr>
            <w:r>
              <w:t>1</w:t>
            </w:r>
          </w:p>
          <w:p w14:paraId="0707326E" w14:textId="77777777" w:rsidR="00CF3F90" w:rsidRPr="00C54D49" w:rsidRDefault="00CF3F90" w:rsidP="00E83822">
            <w:pPr>
              <w:spacing w:after="0" w:line="240" w:lineRule="auto"/>
              <w:jc w:val="center"/>
              <w:rPr>
                <w:lang w:val="en-US"/>
              </w:rPr>
            </w:pPr>
            <w:r>
              <w:rPr>
                <w:lang w:val="en-US"/>
              </w:rPr>
              <w:t>test</w:t>
            </w:r>
          </w:p>
        </w:tc>
        <w:tc>
          <w:tcPr>
            <w:tcW w:w="839" w:type="dxa"/>
          </w:tcPr>
          <w:p w14:paraId="3A265F48" w14:textId="77777777" w:rsidR="00CF3F90" w:rsidRDefault="00CF3F90" w:rsidP="00E83822">
            <w:pPr>
              <w:spacing w:after="0" w:line="240" w:lineRule="auto"/>
              <w:jc w:val="center"/>
            </w:pPr>
            <w:r>
              <w:t>β</w:t>
            </w:r>
          </w:p>
        </w:tc>
        <w:tc>
          <w:tcPr>
            <w:tcW w:w="1319" w:type="dxa"/>
          </w:tcPr>
          <w:p w14:paraId="6D222545" w14:textId="77777777" w:rsidR="00CF3F90" w:rsidRPr="00290137" w:rsidRDefault="00CF3F90" w:rsidP="00E83822">
            <w:pPr>
              <w:spacing w:after="0" w:line="240" w:lineRule="auto"/>
              <w:jc w:val="center"/>
              <w:rPr>
                <w:sz w:val="22"/>
                <w:szCs w:val="22"/>
              </w:rPr>
            </w:pPr>
            <w:r>
              <w:rPr>
                <w:sz w:val="22"/>
                <w:szCs w:val="22"/>
                <w:vertAlign w:val="superscript"/>
              </w:rPr>
              <w:t>3</w:t>
            </w:r>
            <w:r>
              <w:rPr>
                <w:sz w:val="22"/>
                <w:szCs w:val="22"/>
              </w:rPr>
              <w:t>НОН</w:t>
            </w:r>
          </w:p>
        </w:tc>
        <w:tc>
          <w:tcPr>
            <w:tcW w:w="1320" w:type="dxa"/>
          </w:tcPr>
          <w:p w14:paraId="51FCB948" w14:textId="77777777" w:rsidR="00CF3F90" w:rsidRPr="00290137" w:rsidRDefault="00CF3F90" w:rsidP="00E83822">
            <w:pPr>
              <w:spacing w:after="0" w:line="240" w:lineRule="auto"/>
              <w:jc w:val="center"/>
              <w:rPr>
                <w:lang w:val="en-US"/>
              </w:rPr>
            </w:pPr>
            <w:r>
              <w:rPr>
                <w:lang w:val="en-US"/>
              </w:rPr>
              <w:t xml:space="preserve">per </w:t>
            </w:r>
            <w:proofErr w:type="spellStart"/>
            <w:r>
              <w:rPr>
                <w:lang w:val="en-US"/>
              </w:rPr>
              <w:t>os</w:t>
            </w:r>
            <w:proofErr w:type="spellEnd"/>
          </w:p>
        </w:tc>
        <w:tc>
          <w:tcPr>
            <w:tcW w:w="1320" w:type="dxa"/>
          </w:tcPr>
          <w:p w14:paraId="675CEAAD" w14:textId="77777777" w:rsidR="00CF3F90" w:rsidRPr="00C54D49" w:rsidRDefault="00CF3F90" w:rsidP="00E83822">
            <w:pPr>
              <w:spacing w:after="0" w:line="240" w:lineRule="auto"/>
              <w:jc w:val="center"/>
              <w:rPr>
                <w:lang w:val="en-US"/>
              </w:rPr>
            </w:pPr>
            <w:r>
              <w:rPr>
                <w:sz w:val="22"/>
                <w:szCs w:val="22"/>
                <w:lang w:val="en-US"/>
              </w:rPr>
              <w:t>single</w:t>
            </w:r>
          </w:p>
        </w:tc>
        <w:tc>
          <w:tcPr>
            <w:tcW w:w="1533" w:type="dxa"/>
          </w:tcPr>
          <w:p w14:paraId="72A3E1C9" w14:textId="77777777" w:rsidR="00CF3F90" w:rsidRPr="00A920BD" w:rsidRDefault="00CF3F90" w:rsidP="00E83822">
            <w:pPr>
              <w:spacing w:after="0" w:line="240" w:lineRule="auto"/>
              <w:jc w:val="center"/>
              <w:rPr>
                <w:lang w:val="en-US"/>
              </w:rPr>
            </w:pPr>
            <w:r w:rsidRPr="002753E0">
              <w:rPr>
                <w:lang w:val="en-US"/>
              </w:rPr>
              <w:t>0</w:t>
            </w:r>
            <w:r>
              <w:rPr>
                <w:lang w:val="en-US"/>
              </w:rPr>
              <w:t>.</w:t>
            </w:r>
            <w:r w:rsidRPr="002753E0">
              <w:rPr>
                <w:lang w:val="en-US"/>
              </w:rPr>
              <w:t xml:space="preserve">6 </w:t>
            </w:r>
            <w:proofErr w:type="spellStart"/>
            <w:r>
              <w:rPr>
                <w:lang w:val="en-US"/>
              </w:rPr>
              <w:t>kBq</w:t>
            </w:r>
            <w:proofErr w:type="spellEnd"/>
            <w:r w:rsidRPr="002753E0">
              <w:rPr>
                <w:lang w:val="en-US"/>
              </w:rPr>
              <w:t>/</w:t>
            </w:r>
            <w:r>
              <w:rPr>
                <w:lang w:val="en-US"/>
              </w:rPr>
              <w:t>kg</w:t>
            </w:r>
          </w:p>
          <w:p w14:paraId="1419CE4A" w14:textId="77777777" w:rsidR="00CF3F90" w:rsidRPr="002753E0" w:rsidRDefault="00CF3F90" w:rsidP="00E83822">
            <w:pPr>
              <w:spacing w:after="0" w:line="240" w:lineRule="auto"/>
              <w:jc w:val="center"/>
              <w:rPr>
                <w:lang w:val="en-US"/>
              </w:rPr>
            </w:pPr>
            <w:r>
              <w:rPr>
                <w:lang w:val="en-US"/>
              </w:rPr>
              <w:t>body mass</w:t>
            </w:r>
          </w:p>
          <w:p w14:paraId="3D0BA082" w14:textId="77777777" w:rsidR="00CF3F90" w:rsidRPr="002753E0" w:rsidRDefault="00CF3F90" w:rsidP="00E83822">
            <w:pPr>
              <w:spacing w:after="0" w:line="240" w:lineRule="auto"/>
              <w:jc w:val="center"/>
              <w:rPr>
                <w:lang w:val="en-US"/>
              </w:rPr>
            </w:pPr>
            <w:r w:rsidRPr="002753E0">
              <w:rPr>
                <w:lang w:val="en-US"/>
              </w:rPr>
              <w:t>(22</w:t>
            </w:r>
            <w:r>
              <w:rPr>
                <w:lang w:val="en-US"/>
              </w:rPr>
              <w:t>.</w:t>
            </w:r>
            <w:r w:rsidRPr="002753E0">
              <w:rPr>
                <w:lang w:val="en-US"/>
              </w:rPr>
              <w:t xml:space="preserve">2 </w:t>
            </w:r>
            <w:proofErr w:type="spellStart"/>
            <w:r>
              <w:rPr>
                <w:lang w:val="en-US"/>
              </w:rPr>
              <w:t>MBq</w:t>
            </w:r>
            <w:proofErr w:type="spellEnd"/>
            <w:r w:rsidRPr="002753E0">
              <w:rPr>
                <w:lang w:val="en-US"/>
              </w:rPr>
              <w:t>/</w:t>
            </w:r>
            <w:r>
              <w:rPr>
                <w:lang w:val="en-US"/>
              </w:rPr>
              <w:t>g</w:t>
            </w:r>
            <w:r w:rsidRPr="002753E0">
              <w:rPr>
                <w:lang w:val="en-US"/>
              </w:rPr>
              <w:t>)</w:t>
            </w:r>
          </w:p>
        </w:tc>
        <w:tc>
          <w:tcPr>
            <w:tcW w:w="987" w:type="dxa"/>
          </w:tcPr>
          <w:p w14:paraId="02197AD7" w14:textId="77777777" w:rsidR="00CF3F90" w:rsidRDefault="00CF3F90" w:rsidP="00E83822">
            <w:pPr>
              <w:spacing w:after="0" w:line="240" w:lineRule="auto"/>
              <w:jc w:val="center"/>
            </w:pPr>
            <w:r>
              <w:t>11</w:t>
            </w:r>
            <w:r>
              <w:rPr>
                <w:lang w:val="en-US"/>
              </w:rPr>
              <w:t>.</w:t>
            </w:r>
            <w:r>
              <w:t>4</w:t>
            </w:r>
          </w:p>
        </w:tc>
        <w:tc>
          <w:tcPr>
            <w:tcW w:w="1898" w:type="dxa"/>
          </w:tcPr>
          <w:p w14:paraId="268A34E4" w14:textId="77777777" w:rsidR="00CF3F90" w:rsidRPr="00A51FEE" w:rsidRDefault="00CF3F90" w:rsidP="00E83822">
            <w:pPr>
              <w:spacing w:after="0" w:line="240" w:lineRule="auto"/>
              <w:jc w:val="center"/>
              <w:rPr>
                <w:lang w:val="en-US"/>
              </w:rPr>
            </w:pPr>
            <w:r>
              <w:t>none</w:t>
            </w:r>
          </w:p>
        </w:tc>
        <w:tc>
          <w:tcPr>
            <w:tcW w:w="1276" w:type="dxa"/>
          </w:tcPr>
          <w:p w14:paraId="1F1BDDCF" w14:textId="77777777" w:rsidR="00CF3F90" w:rsidRDefault="00CF3F90" w:rsidP="00E83822">
            <w:pPr>
              <w:spacing w:after="0" w:line="240" w:lineRule="auto"/>
              <w:jc w:val="center"/>
            </w:pPr>
            <w:r>
              <w:t>101</w:t>
            </w:r>
          </w:p>
        </w:tc>
        <w:tc>
          <w:tcPr>
            <w:tcW w:w="1276" w:type="dxa"/>
          </w:tcPr>
          <w:p w14:paraId="0B19038D" w14:textId="77777777" w:rsidR="00CF3F90" w:rsidRDefault="00CF3F90" w:rsidP="00E83822">
            <w:pPr>
              <w:spacing w:after="0" w:line="240" w:lineRule="auto"/>
              <w:jc w:val="center"/>
            </w:pPr>
            <w:r>
              <w:t>885</w:t>
            </w:r>
          </w:p>
        </w:tc>
      </w:tr>
      <w:tr w:rsidR="00CF3F90" w14:paraId="5DABEB07" w14:textId="77777777" w:rsidTr="00E83822">
        <w:trPr>
          <w:trHeight w:val="725"/>
        </w:trPr>
        <w:tc>
          <w:tcPr>
            <w:tcW w:w="1199" w:type="dxa"/>
          </w:tcPr>
          <w:p w14:paraId="68A6EDF8" w14:textId="77777777" w:rsidR="00CF3F90" w:rsidRDefault="00CF3F90" w:rsidP="00E83822">
            <w:pPr>
              <w:spacing w:after="0" w:line="240" w:lineRule="auto"/>
              <w:jc w:val="center"/>
            </w:pPr>
            <w:r>
              <w:t>2</w:t>
            </w:r>
          </w:p>
          <w:p w14:paraId="6704410C" w14:textId="77777777" w:rsidR="00CF3F90" w:rsidRPr="00C54D49" w:rsidRDefault="00CF3F90" w:rsidP="00E83822">
            <w:pPr>
              <w:spacing w:after="0" w:line="240" w:lineRule="auto"/>
              <w:jc w:val="center"/>
              <w:rPr>
                <w:lang w:val="en-US"/>
              </w:rPr>
            </w:pPr>
            <w:r>
              <w:rPr>
                <w:lang w:val="en-US"/>
              </w:rPr>
              <w:t>test</w:t>
            </w:r>
          </w:p>
        </w:tc>
        <w:tc>
          <w:tcPr>
            <w:tcW w:w="839" w:type="dxa"/>
          </w:tcPr>
          <w:p w14:paraId="2940502A" w14:textId="77777777" w:rsidR="00CF3F90" w:rsidRDefault="00CF3F90" w:rsidP="00E83822">
            <w:pPr>
              <w:spacing w:after="0" w:line="240" w:lineRule="auto"/>
              <w:jc w:val="center"/>
            </w:pPr>
            <w:r>
              <w:t>γ</w:t>
            </w:r>
          </w:p>
        </w:tc>
        <w:tc>
          <w:tcPr>
            <w:tcW w:w="1319" w:type="dxa"/>
          </w:tcPr>
          <w:p w14:paraId="235016D4" w14:textId="77777777" w:rsidR="00CF3F90" w:rsidRPr="00E13C30" w:rsidRDefault="00CF3F90" w:rsidP="00E83822">
            <w:pPr>
              <w:spacing w:after="0" w:line="240" w:lineRule="auto"/>
              <w:jc w:val="center"/>
              <w:rPr>
                <w:sz w:val="22"/>
                <w:szCs w:val="22"/>
                <w:lang w:val="en-US"/>
              </w:rPr>
            </w:pPr>
            <w:r>
              <w:rPr>
                <w:sz w:val="22"/>
                <w:szCs w:val="22"/>
                <w:vertAlign w:val="superscript"/>
              </w:rPr>
              <w:t>137</w:t>
            </w:r>
            <w:r>
              <w:rPr>
                <w:sz w:val="22"/>
                <w:szCs w:val="22"/>
                <w:lang w:val="en-US"/>
              </w:rPr>
              <w:t>Cs</w:t>
            </w:r>
          </w:p>
        </w:tc>
        <w:tc>
          <w:tcPr>
            <w:tcW w:w="1320" w:type="dxa"/>
          </w:tcPr>
          <w:p w14:paraId="52888600" w14:textId="77777777" w:rsidR="00CF3F90" w:rsidRPr="00C54D49" w:rsidRDefault="00CF3F90" w:rsidP="00E83822">
            <w:pPr>
              <w:spacing w:after="0" w:line="240" w:lineRule="auto"/>
              <w:jc w:val="center"/>
              <w:rPr>
                <w:lang w:val="en-US"/>
              </w:rPr>
            </w:pPr>
            <w:r>
              <w:rPr>
                <w:sz w:val="22"/>
                <w:szCs w:val="22"/>
                <w:lang w:val="en-US"/>
              </w:rPr>
              <w:t>external</w:t>
            </w:r>
          </w:p>
        </w:tc>
        <w:tc>
          <w:tcPr>
            <w:tcW w:w="1320" w:type="dxa"/>
          </w:tcPr>
          <w:p w14:paraId="5A8996AC" w14:textId="77777777" w:rsidR="00CF3F90" w:rsidRPr="00C54D49" w:rsidRDefault="00CF3F90" w:rsidP="00E83822">
            <w:pPr>
              <w:spacing w:after="0" w:line="240" w:lineRule="auto"/>
              <w:jc w:val="center"/>
              <w:rPr>
                <w:sz w:val="22"/>
                <w:szCs w:val="22"/>
                <w:lang w:val="en-US"/>
              </w:rPr>
            </w:pPr>
            <w:r>
              <w:rPr>
                <w:sz w:val="22"/>
                <w:szCs w:val="22"/>
                <w:lang w:val="en-US"/>
              </w:rPr>
              <w:t>single</w:t>
            </w:r>
          </w:p>
        </w:tc>
        <w:tc>
          <w:tcPr>
            <w:tcW w:w="1533" w:type="dxa"/>
          </w:tcPr>
          <w:p w14:paraId="6B663B2B" w14:textId="77777777" w:rsidR="00CF3F90" w:rsidRDefault="00CF3F90" w:rsidP="00E83822">
            <w:pPr>
              <w:spacing w:after="0" w:line="240" w:lineRule="auto"/>
              <w:jc w:val="center"/>
            </w:pPr>
            <w:r>
              <w:rPr>
                <w:lang w:val="en-US"/>
              </w:rPr>
              <w:t>none</w:t>
            </w:r>
          </w:p>
        </w:tc>
        <w:tc>
          <w:tcPr>
            <w:tcW w:w="987" w:type="dxa"/>
          </w:tcPr>
          <w:p w14:paraId="4BF8D609" w14:textId="77777777" w:rsidR="00CF3F90" w:rsidRDefault="00CF3F90" w:rsidP="00E83822">
            <w:pPr>
              <w:spacing w:after="0" w:line="240" w:lineRule="auto"/>
              <w:jc w:val="center"/>
            </w:pPr>
            <w:r>
              <w:t>6</w:t>
            </w:r>
            <w:r>
              <w:rPr>
                <w:lang w:val="en-US"/>
              </w:rPr>
              <w:t>.</w:t>
            </w:r>
            <w:r>
              <w:t>4</w:t>
            </w:r>
          </w:p>
        </w:tc>
        <w:tc>
          <w:tcPr>
            <w:tcW w:w="1898" w:type="dxa"/>
          </w:tcPr>
          <w:p w14:paraId="2437E306" w14:textId="77777777" w:rsidR="00CF3F90" w:rsidRPr="001325FE" w:rsidRDefault="00CF3F90" w:rsidP="00E83822">
            <w:pPr>
              <w:spacing w:after="0" w:line="240" w:lineRule="auto"/>
              <w:jc w:val="center"/>
              <w:rPr>
                <w:sz w:val="22"/>
                <w:szCs w:val="22"/>
              </w:rPr>
            </w:pPr>
            <w:r>
              <w:rPr>
                <w:lang w:val="en-US"/>
              </w:rPr>
              <w:t>none</w:t>
            </w:r>
          </w:p>
        </w:tc>
        <w:tc>
          <w:tcPr>
            <w:tcW w:w="1276" w:type="dxa"/>
          </w:tcPr>
          <w:p w14:paraId="0F0D2929" w14:textId="77777777" w:rsidR="00CF3F90" w:rsidRDefault="00CF3F90" w:rsidP="00E83822">
            <w:pPr>
              <w:spacing w:after="0" w:line="240" w:lineRule="auto"/>
              <w:jc w:val="center"/>
            </w:pPr>
            <w:r>
              <w:t>86</w:t>
            </w:r>
          </w:p>
        </w:tc>
        <w:tc>
          <w:tcPr>
            <w:tcW w:w="1276" w:type="dxa"/>
          </w:tcPr>
          <w:p w14:paraId="06F0C46B" w14:textId="77777777" w:rsidR="00CF3F90" w:rsidRDefault="00CF3F90" w:rsidP="00E83822">
            <w:pPr>
              <w:jc w:val="center"/>
            </w:pPr>
            <w:r>
              <w:t>1884</w:t>
            </w:r>
          </w:p>
        </w:tc>
      </w:tr>
      <w:tr w:rsidR="00CF3F90" w14:paraId="1C933370" w14:textId="77777777" w:rsidTr="00E83822">
        <w:trPr>
          <w:trHeight w:val="687"/>
        </w:trPr>
        <w:tc>
          <w:tcPr>
            <w:tcW w:w="1199" w:type="dxa"/>
          </w:tcPr>
          <w:p w14:paraId="27644130" w14:textId="77777777" w:rsidR="00CF3F90" w:rsidRDefault="00CF3F90" w:rsidP="00E83822">
            <w:pPr>
              <w:spacing w:after="0" w:line="240" w:lineRule="auto"/>
              <w:jc w:val="center"/>
            </w:pPr>
            <w:r>
              <w:t>3</w:t>
            </w:r>
          </w:p>
          <w:p w14:paraId="4C259984" w14:textId="77777777" w:rsidR="00CF3F90" w:rsidRPr="00C54D49" w:rsidRDefault="00CF3F90" w:rsidP="00E83822">
            <w:pPr>
              <w:spacing w:after="0" w:line="240" w:lineRule="auto"/>
              <w:jc w:val="center"/>
              <w:rPr>
                <w:lang w:val="en-US"/>
              </w:rPr>
            </w:pPr>
            <w:r>
              <w:rPr>
                <w:lang w:val="en-US"/>
              </w:rPr>
              <w:t>control</w:t>
            </w:r>
          </w:p>
        </w:tc>
        <w:tc>
          <w:tcPr>
            <w:tcW w:w="839" w:type="dxa"/>
          </w:tcPr>
          <w:p w14:paraId="597F36F1" w14:textId="77777777" w:rsidR="00CF3F90" w:rsidRPr="00C54D49" w:rsidRDefault="00CF3F90" w:rsidP="00E83822">
            <w:pPr>
              <w:spacing w:after="0" w:line="240" w:lineRule="auto"/>
              <w:jc w:val="center"/>
              <w:rPr>
                <w:lang w:val="en-US"/>
              </w:rPr>
            </w:pPr>
            <w:r>
              <w:rPr>
                <w:lang w:val="en-US"/>
              </w:rPr>
              <w:t>none</w:t>
            </w:r>
          </w:p>
        </w:tc>
        <w:tc>
          <w:tcPr>
            <w:tcW w:w="1319" w:type="dxa"/>
          </w:tcPr>
          <w:p w14:paraId="006B9B2A" w14:textId="77777777" w:rsidR="00CF3F90" w:rsidRDefault="00CF3F90" w:rsidP="00E83822">
            <w:pPr>
              <w:jc w:val="center"/>
            </w:pPr>
            <w:r w:rsidRPr="00D85CCC">
              <w:rPr>
                <w:lang w:val="en-US"/>
              </w:rPr>
              <w:t>none</w:t>
            </w:r>
          </w:p>
        </w:tc>
        <w:tc>
          <w:tcPr>
            <w:tcW w:w="1320" w:type="dxa"/>
          </w:tcPr>
          <w:p w14:paraId="3B2C450B" w14:textId="77777777" w:rsidR="00CF3F90" w:rsidRDefault="00CF3F90" w:rsidP="00E83822">
            <w:pPr>
              <w:jc w:val="center"/>
            </w:pPr>
            <w:r w:rsidRPr="00D85CCC">
              <w:rPr>
                <w:lang w:val="en-US"/>
              </w:rPr>
              <w:t>none</w:t>
            </w:r>
          </w:p>
        </w:tc>
        <w:tc>
          <w:tcPr>
            <w:tcW w:w="1320" w:type="dxa"/>
          </w:tcPr>
          <w:p w14:paraId="2C6185F9" w14:textId="77777777" w:rsidR="00CF3F90" w:rsidRDefault="00CF3F90" w:rsidP="00E83822">
            <w:pPr>
              <w:jc w:val="center"/>
            </w:pPr>
            <w:r w:rsidRPr="00D85CCC">
              <w:rPr>
                <w:lang w:val="en-US"/>
              </w:rPr>
              <w:t>none</w:t>
            </w:r>
          </w:p>
        </w:tc>
        <w:tc>
          <w:tcPr>
            <w:tcW w:w="1533" w:type="dxa"/>
          </w:tcPr>
          <w:p w14:paraId="345D71A2" w14:textId="77777777" w:rsidR="00CF3F90" w:rsidRDefault="00CF3F90" w:rsidP="00E83822">
            <w:pPr>
              <w:jc w:val="center"/>
            </w:pPr>
            <w:r w:rsidRPr="00D85CCC">
              <w:rPr>
                <w:lang w:val="en-US"/>
              </w:rPr>
              <w:t>none</w:t>
            </w:r>
          </w:p>
        </w:tc>
        <w:tc>
          <w:tcPr>
            <w:tcW w:w="987" w:type="dxa"/>
          </w:tcPr>
          <w:p w14:paraId="7FDD14F6" w14:textId="77777777" w:rsidR="00CF3F90" w:rsidRDefault="00CF3F90" w:rsidP="00E83822">
            <w:pPr>
              <w:jc w:val="center"/>
            </w:pPr>
            <w:r w:rsidRPr="00D85CCC">
              <w:rPr>
                <w:lang w:val="en-US"/>
              </w:rPr>
              <w:t>none</w:t>
            </w:r>
          </w:p>
        </w:tc>
        <w:tc>
          <w:tcPr>
            <w:tcW w:w="1898" w:type="dxa"/>
          </w:tcPr>
          <w:p w14:paraId="5F7A1BA6" w14:textId="77777777" w:rsidR="00CF3F90" w:rsidRDefault="00CF3F90" w:rsidP="00E83822">
            <w:pPr>
              <w:jc w:val="center"/>
            </w:pPr>
            <w:r w:rsidRPr="00D85CCC">
              <w:rPr>
                <w:lang w:val="en-US"/>
              </w:rPr>
              <w:t>none</w:t>
            </w:r>
          </w:p>
        </w:tc>
        <w:tc>
          <w:tcPr>
            <w:tcW w:w="1276" w:type="dxa"/>
          </w:tcPr>
          <w:p w14:paraId="6A8399ED" w14:textId="77777777" w:rsidR="00CF3F90" w:rsidRDefault="00CF3F90" w:rsidP="00E83822">
            <w:pPr>
              <w:spacing w:after="0" w:line="240" w:lineRule="auto"/>
              <w:jc w:val="center"/>
            </w:pPr>
            <w:r>
              <w:t>89</w:t>
            </w:r>
          </w:p>
        </w:tc>
        <w:tc>
          <w:tcPr>
            <w:tcW w:w="1276" w:type="dxa"/>
          </w:tcPr>
          <w:p w14:paraId="55B50525" w14:textId="77777777" w:rsidR="00CF3F90" w:rsidRDefault="00CF3F90" w:rsidP="00E83822">
            <w:pPr>
              <w:spacing w:after="0" w:line="240" w:lineRule="auto"/>
              <w:jc w:val="center"/>
            </w:pPr>
            <w:r>
              <w:t>36</w:t>
            </w:r>
          </w:p>
        </w:tc>
      </w:tr>
    </w:tbl>
    <w:p w14:paraId="5628FEBE" w14:textId="77777777" w:rsidR="00CF3F90" w:rsidRDefault="00CF3F90" w:rsidP="00CF3F90">
      <w:pPr>
        <w:spacing w:after="0" w:line="240" w:lineRule="auto"/>
      </w:pPr>
    </w:p>
    <w:p w14:paraId="7DC19B8E" w14:textId="77777777" w:rsidR="00CF3F90" w:rsidRDefault="00CF3F90" w:rsidP="00CF3F90">
      <w:pPr>
        <w:spacing w:after="0" w:line="240" w:lineRule="auto"/>
      </w:pPr>
    </w:p>
    <w:p w14:paraId="27C51589" w14:textId="2F90A579" w:rsidR="00884327" w:rsidRPr="00C60708" w:rsidRDefault="00884327" w:rsidP="003D5711">
      <w:pPr>
        <w:rPr>
          <w:lang w:val="en-US"/>
        </w:rPr>
      </w:pPr>
    </w:p>
    <w:sectPr w:rsidR="00884327" w:rsidRPr="00C60708" w:rsidSect="00D9200C">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61234"/>
    <w:multiLevelType w:val="hybridMultilevel"/>
    <w:tmpl w:val="2EE8DC16"/>
    <w:lvl w:ilvl="0" w:tplc="1D524458">
      <w:numFmt w:val="bullet"/>
      <w:lvlText w:val="-"/>
      <w:lvlJc w:val="left"/>
      <w:pPr>
        <w:ind w:left="720" w:hanging="360"/>
      </w:pPr>
      <w:rPr>
        <w:rFonts w:ascii="Times New Roman" w:eastAsia="Calibri" w:hAnsi="Times New Roman"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08"/>
    <w:rsid w:val="0009561D"/>
    <w:rsid w:val="0021024B"/>
    <w:rsid w:val="002A3ABE"/>
    <w:rsid w:val="003271ED"/>
    <w:rsid w:val="003D5711"/>
    <w:rsid w:val="00766D33"/>
    <w:rsid w:val="00770E1B"/>
    <w:rsid w:val="00791FF8"/>
    <w:rsid w:val="007D6D14"/>
    <w:rsid w:val="00811C7D"/>
    <w:rsid w:val="00884327"/>
    <w:rsid w:val="00B177D4"/>
    <w:rsid w:val="00BF7624"/>
    <w:rsid w:val="00C33BD4"/>
    <w:rsid w:val="00C60708"/>
    <w:rsid w:val="00C82B54"/>
    <w:rsid w:val="00CF3F90"/>
    <w:rsid w:val="00DC6B76"/>
    <w:rsid w:val="00E11BDB"/>
    <w:rsid w:val="00ED2B8A"/>
    <w:rsid w:val="00F01E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5834"/>
  <w15:chartTrackingRefBased/>
  <w15:docId w15:val="{D0F9FB9A-B0B0-44E9-A08F-1B39BB7D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0708"/>
    <w:pPr>
      <w:spacing w:after="200" w:line="276" w:lineRule="auto"/>
    </w:pPr>
    <w:rPr>
      <w:rFonts w:ascii="Times New Roman" w:eastAsia="Calibri" w:hAnsi="Times New Roman" w:cs="Times New Roman"/>
      <w:sz w:val="24"/>
      <w:szCs w:val="24"/>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BF7624"/>
    <w:pPr>
      <w:spacing w:line="240" w:lineRule="auto"/>
    </w:pPr>
    <w:rPr>
      <w:rFonts w:ascii="Arial" w:eastAsiaTheme="minorHAnsi" w:hAnsi="Arial" w:cstheme="minorBidi"/>
      <w:b/>
      <w:iCs/>
      <w:color w:val="44546A" w:themeColor="text2"/>
      <w:szCs w:val="18"/>
      <w:lang w:val="de-DE"/>
    </w:rPr>
  </w:style>
  <w:style w:type="paragraph" w:styleId="Listenabsatz">
    <w:name w:val="List Paragraph"/>
    <w:basedOn w:val="Standard"/>
    <w:uiPriority w:val="34"/>
    <w:qFormat/>
    <w:rsid w:val="00791FF8"/>
    <w:pPr>
      <w:ind w:left="720"/>
      <w:contextualSpacing/>
    </w:pPr>
  </w:style>
  <w:style w:type="character" w:styleId="Kommentarzeichen">
    <w:name w:val="annotation reference"/>
    <w:basedOn w:val="Absatz-Standardschriftart"/>
    <w:uiPriority w:val="99"/>
    <w:semiHidden/>
    <w:unhideWhenUsed/>
    <w:rsid w:val="00E11BDB"/>
    <w:rPr>
      <w:sz w:val="16"/>
      <w:szCs w:val="16"/>
    </w:rPr>
  </w:style>
  <w:style w:type="paragraph" w:styleId="Kommentartext">
    <w:name w:val="annotation text"/>
    <w:basedOn w:val="Standard"/>
    <w:link w:val="KommentartextZchn"/>
    <w:uiPriority w:val="99"/>
    <w:semiHidden/>
    <w:unhideWhenUsed/>
    <w:rsid w:val="00E11B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BDB"/>
    <w:rPr>
      <w:rFonts w:ascii="Times New Roman" w:eastAsia="Calibri" w:hAnsi="Times New Roman" w:cs="Times New Roman"/>
      <w:sz w:val="20"/>
      <w:szCs w:val="20"/>
      <w:lang w:val="ru-RU"/>
    </w:rPr>
  </w:style>
  <w:style w:type="paragraph" w:styleId="Kommentarthema">
    <w:name w:val="annotation subject"/>
    <w:basedOn w:val="Kommentartext"/>
    <w:next w:val="Kommentartext"/>
    <w:link w:val="KommentarthemaZchn"/>
    <w:uiPriority w:val="99"/>
    <w:semiHidden/>
    <w:unhideWhenUsed/>
    <w:rsid w:val="00E11BDB"/>
    <w:rPr>
      <w:b/>
      <w:bCs/>
    </w:rPr>
  </w:style>
  <w:style w:type="character" w:customStyle="1" w:styleId="KommentarthemaZchn">
    <w:name w:val="Kommentarthema Zchn"/>
    <w:basedOn w:val="KommentartextZchn"/>
    <w:link w:val="Kommentarthema"/>
    <w:uiPriority w:val="99"/>
    <w:semiHidden/>
    <w:rsid w:val="00E11BDB"/>
    <w:rPr>
      <w:rFonts w:ascii="Times New Roman" w:eastAsia="Calibri" w:hAnsi="Times New Roman" w:cs="Times New Roman"/>
      <w:b/>
      <w:bCs/>
      <w:sz w:val="20"/>
      <w:szCs w:val="20"/>
      <w:lang w:val="ru-RU"/>
    </w:rPr>
  </w:style>
  <w:style w:type="paragraph" w:styleId="Sprechblasentext">
    <w:name w:val="Balloon Text"/>
    <w:basedOn w:val="Standard"/>
    <w:link w:val="SprechblasentextZchn"/>
    <w:uiPriority w:val="99"/>
    <w:semiHidden/>
    <w:unhideWhenUsed/>
    <w:rsid w:val="00E11B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1BDB"/>
    <w:rPr>
      <w:rFonts w:ascii="Segoe UI" w:eastAsia="Calibri" w:hAnsi="Segoe UI" w:cs="Segoe UI"/>
      <w:sz w:val="18"/>
      <w:szCs w:val="18"/>
      <w:lang w:val="ru-RU"/>
    </w:rPr>
  </w:style>
  <w:style w:type="character" w:styleId="IntensiveHervorhebung">
    <w:name w:val="Intense Emphasis"/>
    <w:basedOn w:val="Absatz-Standardschriftart"/>
    <w:uiPriority w:val="21"/>
    <w:qFormat/>
    <w:rsid w:val="003D5711"/>
    <w:rPr>
      <w:i/>
      <w:iCs/>
      <w:color w:val="5B9BD5" w:themeColor="accent1"/>
    </w:rPr>
  </w:style>
  <w:style w:type="character" w:styleId="Hyperlink">
    <w:name w:val="Hyperlink"/>
    <w:basedOn w:val="Absatz-Standardschriftart"/>
    <w:unhideWhenUsed/>
    <w:rsid w:val="003D57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_dep@subi.su" TargetMode="External"/><Relationship Id="rId3" Type="http://schemas.openxmlformats.org/officeDocument/2006/relationships/settings" Target="settings.xml"/><Relationship Id="rId7" Type="http://schemas.openxmlformats.org/officeDocument/2006/relationships/hyperlink" Target="http://dx.doi.org/doi:10.20348/STOREDB/1041/1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edb.org/store_v3/documents.jsp" TargetMode="External"/><Relationship Id="rId11" Type="http://schemas.openxmlformats.org/officeDocument/2006/relationships/theme" Target="theme/theme1.xml"/><Relationship Id="rId5" Type="http://schemas.openxmlformats.org/officeDocument/2006/relationships/hyperlink" Target="http://cordis.europa.eu/project/rcn/89386_e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grosche@t-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Grosche</dc:creator>
  <cp:keywords/>
  <dc:description/>
  <cp:lastModifiedBy>Bernd Grosche</cp:lastModifiedBy>
  <cp:revision>9</cp:revision>
  <dcterms:created xsi:type="dcterms:W3CDTF">2016-10-05T15:43:00Z</dcterms:created>
  <dcterms:modified xsi:type="dcterms:W3CDTF">2016-11-06T15:45:00Z</dcterms:modified>
</cp:coreProperties>
</file>