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516" w:rsidRPr="00D476C1" w:rsidRDefault="000C7516" w:rsidP="00C118F8">
      <w:pPr>
        <w:spacing w:after="0" w:line="360" w:lineRule="auto"/>
        <w:jc w:val="both"/>
        <w:rPr>
          <w:b/>
        </w:rPr>
      </w:pPr>
      <w:r>
        <w:rPr>
          <w:b/>
          <w:lang w:val="en-US"/>
        </w:rPr>
        <w:t>CONTRACT</w:t>
      </w:r>
      <w:r w:rsidR="00C118F8">
        <w:rPr>
          <w:b/>
        </w:rPr>
        <w:t xml:space="preserve"> 76323 </w:t>
      </w:r>
      <w:r w:rsidR="00C118F8">
        <w:rPr>
          <w:b/>
          <w:lang w:val="en-US"/>
        </w:rPr>
        <w:t>(Internal SUBI number for reference pu</w:t>
      </w:r>
      <w:r w:rsidR="008A5F3B">
        <w:rPr>
          <w:b/>
          <w:lang w:val="en-US"/>
        </w:rPr>
        <w:t>r</w:t>
      </w:r>
      <w:r w:rsidR="00C118F8">
        <w:rPr>
          <w:b/>
          <w:lang w:val="en-US"/>
        </w:rPr>
        <w:t>poses)</w:t>
      </w:r>
    </w:p>
    <w:p w:rsidR="000C7516" w:rsidRDefault="000C7516" w:rsidP="00C118F8">
      <w:pPr>
        <w:spacing w:after="0" w:line="360" w:lineRule="auto"/>
        <w:jc w:val="both"/>
        <w:rPr>
          <w:b/>
          <w:lang w:val="en-US"/>
        </w:rPr>
      </w:pPr>
      <w:r w:rsidRPr="00AC76F7">
        <w:rPr>
          <w:b/>
          <w:lang w:val="en-US"/>
        </w:rPr>
        <w:t>«</w:t>
      </w:r>
      <w:r>
        <w:rPr>
          <w:b/>
          <w:lang w:val="en-US"/>
        </w:rPr>
        <w:t>Study of body regenerative process after chronic effect of external gamma-radiation and incorporated tritium</w:t>
      </w:r>
      <w:r w:rsidRPr="00AC76F7">
        <w:rPr>
          <w:b/>
          <w:lang w:val="en-US"/>
        </w:rPr>
        <w:t xml:space="preserve">». </w:t>
      </w:r>
    </w:p>
    <w:p w:rsidR="00C118F8" w:rsidRPr="0042735C" w:rsidRDefault="00C118F8" w:rsidP="00C118F8">
      <w:pPr>
        <w:spacing w:after="0" w:line="360" w:lineRule="auto"/>
        <w:jc w:val="both"/>
        <w:rPr>
          <w:lang w:val="en-US"/>
        </w:rPr>
      </w:pPr>
      <w:r>
        <w:rPr>
          <w:lang w:val="en-US"/>
        </w:rPr>
        <w:t>Performance period</w:t>
      </w:r>
      <w:r>
        <w:t xml:space="preserve">: 1976-1980 </w:t>
      </w:r>
    </w:p>
    <w:p w:rsidR="00C118F8" w:rsidRDefault="00C118F8" w:rsidP="00C118F8">
      <w:pPr>
        <w:spacing w:after="0" w:line="360" w:lineRule="auto"/>
        <w:jc w:val="both"/>
        <w:rPr>
          <w:b/>
          <w:lang w:val="en-US"/>
        </w:rPr>
      </w:pPr>
    </w:p>
    <w:p w:rsidR="00C118F8" w:rsidRPr="00AC76F7" w:rsidRDefault="00C118F8" w:rsidP="00C118F8">
      <w:pPr>
        <w:spacing w:after="0" w:line="360" w:lineRule="auto"/>
        <w:jc w:val="both"/>
        <w:rPr>
          <w:b/>
          <w:lang w:val="en-US"/>
        </w:rPr>
      </w:pPr>
      <w:r>
        <w:rPr>
          <w:b/>
          <w:lang w:val="en-US"/>
        </w:rPr>
        <w:t>Publications</w:t>
      </w:r>
    </w:p>
    <w:p w:rsidR="000C7516" w:rsidRDefault="000C7516" w:rsidP="000C7516">
      <w:pPr>
        <w:spacing w:line="360" w:lineRule="auto"/>
        <w:jc w:val="both"/>
        <w:rPr>
          <w:lang w:val="en-US"/>
        </w:rPr>
      </w:pPr>
      <w:r>
        <w:rPr>
          <w:lang w:val="en-US"/>
        </w:rPr>
        <w:t xml:space="preserve">Scientific research report (final). Principal investigator and executive </w:t>
      </w:r>
      <w:r w:rsidR="008A5F3B" w:rsidRPr="008A5F3B">
        <w:rPr>
          <w:lang w:val="en-GB"/>
        </w:rPr>
        <w:t>K.N</w:t>
      </w:r>
      <w:r>
        <w:rPr>
          <w:lang w:val="en-US"/>
        </w:rPr>
        <w:t xml:space="preserve">. </w:t>
      </w:r>
      <w:proofErr w:type="spellStart"/>
      <w:r>
        <w:rPr>
          <w:lang w:val="en-US"/>
        </w:rPr>
        <w:t>Muksinova</w:t>
      </w:r>
      <w:proofErr w:type="spellEnd"/>
      <w:r>
        <w:rPr>
          <w:lang w:val="en-US"/>
        </w:rPr>
        <w:t xml:space="preserve">, ex. V.S. </w:t>
      </w:r>
      <w:proofErr w:type="spellStart"/>
      <w:r>
        <w:rPr>
          <w:lang w:val="en-US"/>
        </w:rPr>
        <w:t>Voronin</w:t>
      </w:r>
      <w:proofErr w:type="spellEnd"/>
      <w:r>
        <w:rPr>
          <w:lang w:val="en-US"/>
        </w:rPr>
        <w:t xml:space="preserve">, </w:t>
      </w:r>
      <w:r>
        <w:t>Е</w:t>
      </w:r>
      <w:r>
        <w:rPr>
          <w:lang w:val="en-US"/>
        </w:rPr>
        <w:t xml:space="preserve">.N. </w:t>
      </w:r>
      <w:proofErr w:type="spellStart"/>
      <w:r>
        <w:rPr>
          <w:lang w:val="en-US"/>
        </w:rPr>
        <w:t>Kirillova</w:t>
      </w:r>
      <w:proofErr w:type="spellEnd"/>
      <w:r>
        <w:rPr>
          <w:lang w:val="en-US"/>
        </w:rPr>
        <w:t>, N.</w:t>
      </w:r>
      <w:r>
        <w:t>А</w:t>
      </w:r>
      <w:r>
        <w:rPr>
          <w:lang w:val="en-US"/>
        </w:rPr>
        <w:t xml:space="preserve">. </w:t>
      </w:r>
      <w:proofErr w:type="spellStart"/>
      <w:r>
        <w:rPr>
          <w:lang w:val="en-US"/>
        </w:rPr>
        <w:t>Koshurnikova</w:t>
      </w:r>
      <w:proofErr w:type="spellEnd"/>
      <w:r>
        <w:rPr>
          <w:lang w:val="en-US"/>
        </w:rPr>
        <w:t xml:space="preserve"> et al. – FIB-1,1980. – Inv. no. 1301. – 1vol. – 114 p. – 2 vol. – 117 p., 51 tables, 83 fig., 49 references. Contract materials were sources for 15 papers, of them published – 7.</w:t>
      </w:r>
    </w:p>
    <w:p w:rsidR="00BC5E2F" w:rsidRDefault="00BC5E2F" w:rsidP="000C7516">
      <w:pPr>
        <w:spacing w:line="360" w:lineRule="auto"/>
        <w:jc w:val="both"/>
        <w:rPr>
          <w:lang w:val="en-US"/>
        </w:rPr>
      </w:pPr>
      <w:proofErr w:type="spellStart"/>
      <w:r w:rsidRPr="00BC5E2F">
        <w:rPr>
          <w:lang w:val="en-US"/>
        </w:rPr>
        <w:t>Muksinova</w:t>
      </w:r>
      <w:proofErr w:type="spellEnd"/>
      <w:r w:rsidRPr="00BC5E2F">
        <w:rPr>
          <w:lang w:val="en-US"/>
        </w:rPr>
        <w:t xml:space="preserve"> KN, </w:t>
      </w:r>
      <w:proofErr w:type="spellStart"/>
      <w:r w:rsidRPr="00BC5E2F">
        <w:rPr>
          <w:lang w:val="en-US"/>
        </w:rPr>
        <w:t>Murzina</w:t>
      </w:r>
      <w:proofErr w:type="spellEnd"/>
      <w:r w:rsidRPr="00BC5E2F">
        <w:rPr>
          <w:lang w:val="en-US"/>
        </w:rPr>
        <w:t xml:space="preserve"> LD, </w:t>
      </w:r>
      <w:proofErr w:type="spellStart"/>
      <w:r w:rsidRPr="00BC5E2F">
        <w:rPr>
          <w:lang w:val="en-US"/>
        </w:rPr>
        <w:t>Voronin</w:t>
      </w:r>
      <w:proofErr w:type="spellEnd"/>
      <w:r w:rsidRPr="00BC5E2F">
        <w:rPr>
          <w:lang w:val="en-US"/>
        </w:rPr>
        <w:t xml:space="preserve"> VS, </w:t>
      </w:r>
      <w:proofErr w:type="spellStart"/>
      <w:r w:rsidRPr="00BC5E2F">
        <w:rPr>
          <w:lang w:val="en-US"/>
        </w:rPr>
        <w:t>Sukhodoev</w:t>
      </w:r>
      <w:proofErr w:type="spellEnd"/>
      <w:r w:rsidRPr="00BC5E2F">
        <w:rPr>
          <w:lang w:val="en-US"/>
        </w:rPr>
        <w:t xml:space="preserve"> VV: [Cell count changes in the lymphoid tissue in the chronic action of tritium oxide and external 137Cs gamma radiation]. </w:t>
      </w:r>
      <w:proofErr w:type="spellStart"/>
      <w:r w:rsidRPr="00BC5E2F">
        <w:rPr>
          <w:lang w:val="en-US"/>
        </w:rPr>
        <w:t>Radiobiologiia</w:t>
      </w:r>
      <w:proofErr w:type="spellEnd"/>
      <w:r w:rsidRPr="00BC5E2F">
        <w:rPr>
          <w:lang w:val="en-US"/>
        </w:rPr>
        <w:t xml:space="preserve"> 1981, 21(5):737-743.</w:t>
      </w:r>
    </w:p>
    <w:p w:rsidR="00BC5E2F" w:rsidRDefault="00BC5E2F" w:rsidP="000C7516">
      <w:pPr>
        <w:spacing w:line="360" w:lineRule="auto"/>
        <w:jc w:val="both"/>
        <w:rPr>
          <w:lang w:val="en-US"/>
        </w:rPr>
      </w:pPr>
      <w:proofErr w:type="spellStart"/>
      <w:r w:rsidRPr="00BC5E2F">
        <w:rPr>
          <w:lang w:val="en-US"/>
        </w:rPr>
        <w:t>Murzina</w:t>
      </w:r>
      <w:proofErr w:type="spellEnd"/>
      <w:r w:rsidRPr="00BC5E2F">
        <w:rPr>
          <w:lang w:val="en-US"/>
        </w:rPr>
        <w:t xml:space="preserve"> LD, </w:t>
      </w:r>
      <w:proofErr w:type="spellStart"/>
      <w:r w:rsidRPr="00BC5E2F">
        <w:rPr>
          <w:lang w:val="en-US"/>
        </w:rPr>
        <w:t>Muksinova</w:t>
      </w:r>
      <w:proofErr w:type="spellEnd"/>
      <w:r w:rsidRPr="00BC5E2F">
        <w:rPr>
          <w:lang w:val="en-US"/>
        </w:rPr>
        <w:t xml:space="preserve"> KN: [Change in bone marrow hematopoiesis during chronic exposure to tritium oxide and external gamma radiation]. Med </w:t>
      </w:r>
      <w:proofErr w:type="spellStart"/>
      <w:r w:rsidRPr="00BC5E2F">
        <w:rPr>
          <w:lang w:val="en-US"/>
        </w:rPr>
        <w:t>Radiol</w:t>
      </w:r>
      <w:proofErr w:type="spellEnd"/>
      <w:r w:rsidRPr="00BC5E2F">
        <w:rPr>
          <w:lang w:val="en-US"/>
        </w:rPr>
        <w:t xml:space="preserve"> (</w:t>
      </w:r>
      <w:proofErr w:type="spellStart"/>
      <w:r w:rsidRPr="00BC5E2F">
        <w:rPr>
          <w:lang w:val="en-US"/>
        </w:rPr>
        <w:t>Mosk</w:t>
      </w:r>
      <w:proofErr w:type="spellEnd"/>
      <w:r w:rsidRPr="00BC5E2F">
        <w:rPr>
          <w:lang w:val="en-US"/>
        </w:rPr>
        <w:t>) 1982, 27(8):61-66.</w:t>
      </w:r>
    </w:p>
    <w:p w:rsidR="00C118F8" w:rsidRPr="00811C7D" w:rsidRDefault="00C118F8" w:rsidP="00C118F8">
      <w:pPr>
        <w:spacing w:after="0" w:line="360" w:lineRule="auto"/>
        <w:jc w:val="both"/>
        <w:rPr>
          <w:b/>
          <w:bCs/>
          <w:lang w:val="en-US"/>
        </w:rPr>
      </w:pPr>
      <w:r w:rsidRPr="00811C7D">
        <w:rPr>
          <w:b/>
          <w:bCs/>
          <w:lang w:val="en-US"/>
        </w:rPr>
        <w:t>Background</w:t>
      </w:r>
    </w:p>
    <w:p w:rsidR="00CF225D" w:rsidRDefault="00C118F8" w:rsidP="00CF225D">
      <w:pPr>
        <w:spacing w:after="0" w:line="360" w:lineRule="auto"/>
        <w:jc w:val="both"/>
        <w:rPr>
          <w:bCs/>
          <w:lang w:val="en-US"/>
        </w:rPr>
      </w:pPr>
      <w:r>
        <w:rPr>
          <w:bCs/>
          <w:lang w:val="en-US"/>
        </w:rPr>
        <w:t xml:space="preserve">The information was gathered from 221 </w:t>
      </w:r>
      <w:r w:rsidR="00287CFF">
        <w:rPr>
          <w:bCs/>
          <w:lang w:val="en-US"/>
        </w:rPr>
        <w:t xml:space="preserve">male </w:t>
      </w:r>
      <w:r>
        <w:rPr>
          <w:bCs/>
          <w:lang w:val="en-US"/>
        </w:rPr>
        <w:t xml:space="preserve">Wistar rats that were used in SUBI’s </w:t>
      </w:r>
      <w:r w:rsidRPr="00A66184">
        <w:rPr>
          <w:bCs/>
          <w:lang w:val="en-US"/>
        </w:rPr>
        <w:t xml:space="preserve">experiment no. </w:t>
      </w:r>
      <w:r>
        <w:rPr>
          <w:bCs/>
          <w:lang w:val="en-US"/>
        </w:rPr>
        <w:t>76323.</w:t>
      </w:r>
      <w:r w:rsidRPr="00A66184">
        <w:rPr>
          <w:bCs/>
          <w:lang w:val="en-US"/>
        </w:rPr>
        <w:t xml:space="preserve"> </w:t>
      </w:r>
      <w:r w:rsidR="00CF225D">
        <w:rPr>
          <w:bCs/>
          <w:lang w:val="en-US"/>
        </w:rPr>
        <w:t>The collection and collation of the information was done as part of Task 2.3 (“Evaluation of the SUBI tissue archive and database as a potential part of the European archive”) of the previous EURATOM-funded project STORE (</w:t>
      </w:r>
      <w:r w:rsidR="00CF225D">
        <w:rPr>
          <w:lang w:val="en-US"/>
        </w:rPr>
        <w:t xml:space="preserve">Sustaining access to Tissues and data </w:t>
      </w:r>
      <w:proofErr w:type="spellStart"/>
      <w:r w:rsidR="00CF225D">
        <w:rPr>
          <w:lang w:val="en-US"/>
        </w:rPr>
        <w:t>frOm</w:t>
      </w:r>
      <w:proofErr w:type="spellEnd"/>
      <w:r w:rsidR="00CF225D">
        <w:rPr>
          <w:lang w:val="en-US"/>
        </w:rPr>
        <w:t xml:space="preserve"> Radiobiological Experiments</w:t>
      </w:r>
      <w:r w:rsidR="00CF225D">
        <w:rPr>
          <w:bCs/>
          <w:lang w:val="en-US"/>
        </w:rPr>
        <w:t xml:space="preserve">; contract number 23228), which was coordinated by BfS, Germany (see </w:t>
      </w:r>
      <w:hyperlink r:id="rId8" w:history="1">
        <w:r w:rsidR="00CF225D">
          <w:rPr>
            <w:rStyle w:val="Hyperlink"/>
            <w:bCs/>
            <w:lang w:val="en-US"/>
          </w:rPr>
          <w:t>http://cordis.europa.eu/project/rcn/89386_en.html</w:t>
        </w:r>
      </w:hyperlink>
      <w:r w:rsidR="00CF225D">
        <w:rPr>
          <w:bCs/>
          <w:lang w:val="en-US"/>
        </w:rPr>
        <w:t>) .</w:t>
      </w:r>
    </w:p>
    <w:p w:rsidR="00C118F8" w:rsidRDefault="00C118F8" w:rsidP="00C118F8">
      <w:pPr>
        <w:spacing w:after="0" w:line="360" w:lineRule="auto"/>
        <w:jc w:val="both"/>
        <w:rPr>
          <w:bCs/>
          <w:lang w:val="en-US"/>
        </w:rPr>
      </w:pPr>
      <w:r>
        <w:rPr>
          <w:bCs/>
          <w:lang w:val="en-US"/>
        </w:rPr>
        <w:t xml:space="preserve">The information given here is based upon SUBI’s 18 months </w:t>
      </w:r>
      <w:r w:rsidR="00C16C28">
        <w:rPr>
          <w:bCs/>
          <w:lang w:val="en-US"/>
        </w:rPr>
        <w:t xml:space="preserve">and 42 months </w:t>
      </w:r>
      <w:r>
        <w:rPr>
          <w:bCs/>
          <w:lang w:val="en-US"/>
        </w:rPr>
        <w:t>report</w:t>
      </w:r>
      <w:r w:rsidR="00C16C28">
        <w:rPr>
          <w:bCs/>
          <w:lang w:val="en-US"/>
        </w:rPr>
        <w:t>s</w:t>
      </w:r>
      <w:r>
        <w:rPr>
          <w:bCs/>
          <w:lang w:val="en-US"/>
        </w:rPr>
        <w:t>.</w:t>
      </w:r>
    </w:p>
    <w:p w:rsidR="00CF225D" w:rsidRDefault="00CF225D" w:rsidP="00CF225D">
      <w:pPr>
        <w:spacing w:after="0" w:line="360" w:lineRule="auto"/>
        <w:jc w:val="both"/>
        <w:rPr>
          <w:lang w:val="en-US"/>
        </w:rPr>
      </w:pPr>
      <w:r>
        <w:rPr>
          <w:bCs/>
          <w:lang w:val="en-US"/>
        </w:rPr>
        <w:t>It has been shown in the STORE project, that the biological material from the experiments conducted by SUBI can still be used. The respective Standard Operating Procedures are available on the STORE website (</w:t>
      </w:r>
      <w:hyperlink r:id="rId9" w:history="1">
        <w:r>
          <w:rPr>
            <w:rStyle w:val="Hyperlink"/>
            <w:bCs/>
            <w:lang w:val="en-US"/>
          </w:rPr>
          <w:t>http://www.storedb.org/store_v3/documents.jsp</w:t>
        </w:r>
      </w:hyperlink>
      <w:r>
        <w:rPr>
          <w:bCs/>
          <w:lang w:val="en-US"/>
        </w:rPr>
        <w:t xml:space="preserve"> ).</w:t>
      </w:r>
    </w:p>
    <w:p w:rsidR="009C20FE" w:rsidRDefault="009C20FE" w:rsidP="00287CFF">
      <w:pPr>
        <w:spacing w:after="0" w:line="360" w:lineRule="auto"/>
        <w:jc w:val="both"/>
        <w:rPr>
          <w:b/>
          <w:lang w:val="en-US"/>
        </w:rPr>
      </w:pPr>
    </w:p>
    <w:p w:rsidR="00287CFF" w:rsidRPr="00791FF8" w:rsidRDefault="00287CFF" w:rsidP="00287CFF">
      <w:pPr>
        <w:spacing w:after="0" w:line="360" w:lineRule="auto"/>
        <w:jc w:val="both"/>
        <w:rPr>
          <w:b/>
          <w:lang w:val="en-US"/>
        </w:rPr>
      </w:pPr>
      <w:r>
        <w:rPr>
          <w:b/>
          <w:lang w:val="en-US"/>
        </w:rPr>
        <w:t xml:space="preserve">The </w:t>
      </w:r>
      <w:r w:rsidRPr="00791FF8">
        <w:rPr>
          <w:b/>
          <w:lang w:val="en-US"/>
        </w:rPr>
        <w:t>Study</w:t>
      </w:r>
    </w:p>
    <w:p w:rsidR="00287CFF" w:rsidRDefault="005F5531" w:rsidP="00287CFF">
      <w:pPr>
        <w:spacing w:after="0" w:line="360" w:lineRule="auto"/>
        <w:jc w:val="both"/>
        <w:rPr>
          <w:lang w:val="en-US"/>
        </w:rPr>
      </w:pPr>
      <w:r>
        <w:rPr>
          <w:lang w:val="en-US"/>
        </w:rPr>
        <w:t xml:space="preserve">Study population:  </w:t>
      </w:r>
      <w:r w:rsidR="00287CFF">
        <w:rPr>
          <w:lang w:val="en-US"/>
        </w:rPr>
        <w:t>224 male rats</w:t>
      </w:r>
    </w:p>
    <w:p w:rsidR="00287CFF" w:rsidRDefault="00287CFF" w:rsidP="00287CFF">
      <w:pPr>
        <w:spacing w:after="0" w:line="360" w:lineRule="auto"/>
        <w:jc w:val="both"/>
        <w:rPr>
          <w:lang w:val="en-US"/>
        </w:rPr>
      </w:pPr>
      <w:r>
        <w:rPr>
          <w:lang w:val="en-US"/>
        </w:rPr>
        <w:t xml:space="preserve">Exposure: </w:t>
      </w:r>
      <w:r w:rsidR="00E708CD">
        <w:rPr>
          <w:lang w:val="en-US"/>
        </w:rPr>
        <w:t xml:space="preserve">Chronic </w:t>
      </w:r>
      <w:r w:rsidR="00CF225D">
        <w:rPr>
          <w:lang w:val="en-US"/>
        </w:rPr>
        <w:t>exposure to</w:t>
      </w:r>
      <w:r>
        <w:rPr>
          <w:lang w:val="en-US"/>
        </w:rPr>
        <w:t xml:space="preserve"> tritium oxide</w:t>
      </w:r>
      <w:r w:rsidR="00CF225D">
        <w:rPr>
          <w:lang w:val="en-US"/>
        </w:rPr>
        <w:t xml:space="preserve"> (NTO)</w:t>
      </w:r>
      <w:r>
        <w:rPr>
          <w:lang w:val="en-US"/>
        </w:rPr>
        <w:t xml:space="preserve">, </w:t>
      </w:r>
      <w:r w:rsidR="00E708CD">
        <w:rPr>
          <w:lang w:val="en-US"/>
        </w:rPr>
        <w:t xml:space="preserve">chronic </w:t>
      </w:r>
      <w:r>
        <w:rPr>
          <w:lang w:val="en-US"/>
        </w:rPr>
        <w:t>external gamma radiation, control</w:t>
      </w:r>
    </w:p>
    <w:p w:rsidR="00E708CD" w:rsidRDefault="00E708CD" w:rsidP="00287CFF">
      <w:pPr>
        <w:spacing w:after="0" w:line="360" w:lineRule="auto"/>
        <w:jc w:val="both"/>
        <w:rPr>
          <w:lang w:val="en-US"/>
        </w:rPr>
      </w:pPr>
      <w:r>
        <w:rPr>
          <w:lang w:val="en-US"/>
        </w:rPr>
        <w:t xml:space="preserve">Exposure patterns: </w:t>
      </w:r>
    </w:p>
    <w:p w:rsidR="00E708CD" w:rsidRDefault="00E708CD" w:rsidP="00E708CD">
      <w:pPr>
        <w:pStyle w:val="Listenabsatz"/>
        <w:numPr>
          <w:ilvl w:val="0"/>
          <w:numId w:val="3"/>
        </w:numPr>
        <w:spacing w:after="0" w:line="360" w:lineRule="auto"/>
        <w:jc w:val="both"/>
        <w:rPr>
          <w:lang w:val="en-US"/>
        </w:rPr>
      </w:pPr>
      <w:r>
        <w:rPr>
          <w:lang w:val="en-US"/>
        </w:rPr>
        <w:t xml:space="preserve">Tritium 5 times a week over three or six months: 370, 37 and 3.7 </w:t>
      </w:r>
      <w:proofErr w:type="spellStart"/>
      <w:r>
        <w:rPr>
          <w:lang w:val="en-US"/>
        </w:rPr>
        <w:t>kBq</w:t>
      </w:r>
      <w:proofErr w:type="spellEnd"/>
      <w:r>
        <w:rPr>
          <w:lang w:val="en-US"/>
        </w:rPr>
        <w:t>/g/day, respectively</w:t>
      </w:r>
    </w:p>
    <w:p w:rsidR="00E708CD" w:rsidRDefault="00E708CD" w:rsidP="00E708CD">
      <w:pPr>
        <w:pStyle w:val="Listenabsatz"/>
        <w:numPr>
          <w:ilvl w:val="0"/>
          <w:numId w:val="3"/>
        </w:numPr>
        <w:spacing w:after="0" w:line="360" w:lineRule="auto"/>
        <w:jc w:val="both"/>
        <w:rPr>
          <w:lang w:val="en-US"/>
        </w:rPr>
      </w:pPr>
      <w:r>
        <w:rPr>
          <w:lang w:val="en-US"/>
        </w:rPr>
        <w:t>Gamma: external 5 times a week over three or six months</w:t>
      </w:r>
    </w:p>
    <w:p w:rsidR="00E708CD" w:rsidRPr="00E708CD" w:rsidRDefault="00E708CD" w:rsidP="00E708CD">
      <w:pPr>
        <w:pStyle w:val="Listenabsatz"/>
        <w:numPr>
          <w:ilvl w:val="0"/>
          <w:numId w:val="3"/>
        </w:numPr>
        <w:spacing w:after="0" w:line="360" w:lineRule="auto"/>
        <w:jc w:val="both"/>
        <w:rPr>
          <w:lang w:val="en-US"/>
        </w:rPr>
      </w:pPr>
      <w:r>
        <w:rPr>
          <w:lang w:val="en-US"/>
        </w:rPr>
        <w:lastRenderedPageBreak/>
        <w:t>controls</w:t>
      </w:r>
    </w:p>
    <w:p w:rsidR="00287CFF" w:rsidRDefault="00287CFF" w:rsidP="00287CFF">
      <w:pPr>
        <w:spacing w:after="0" w:line="360" w:lineRule="auto"/>
        <w:jc w:val="both"/>
        <w:rPr>
          <w:lang w:val="en-US"/>
        </w:rPr>
      </w:pPr>
      <w:r>
        <w:rPr>
          <w:lang w:val="en-US"/>
        </w:rPr>
        <w:t xml:space="preserve">Outcome of interest: </w:t>
      </w:r>
    </w:p>
    <w:p w:rsidR="00287CFF" w:rsidRPr="00791FF8" w:rsidRDefault="00E708CD" w:rsidP="00287CFF">
      <w:pPr>
        <w:pStyle w:val="Listenabsatz"/>
        <w:numPr>
          <w:ilvl w:val="0"/>
          <w:numId w:val="2"/>
        </w:numPr>
        <w:spacing w:after="0" w:line="360" w:lineRule="auto"/>
        <w:jc w:val="both"/>
        <w:rPr>
          <w:i/>
          <w:lang w:val="en-US"/>
        </w:rPr>
      </w:pPr>
      <w:r>
        <w:rPr>
          <w:lang w:val="en-US"/>
        </w:rPr>
        <w:t>changes in radiosensitive tissues</w:t>
      </w:r>
    </w:p>
    <w:p w:rsidR="00287CFF" w:rsidRPr="00791FF8" w:rsidRDefault="00E708CD" w:rsidP="00287CFF">
      <w:pPr>
        <w:pStyle w:val="Listenabsatz"/>
        <w:numPr>
          <w:ilvl w:val="0"/>
          <w:numId w:val="2"/>
        </w:numPr>
        <w:spacing w:after="0" w:line="360" w:lineRule="auto"/>
        <w:jc w:val="both"/>
        <w:rPr>
          <w:i/>
          <w:lang w:val="en-US"/>
        </w:rPr>
      </w:pPr>
      <w:r>
        <w:rPr>
          <w:lang w:val="en-US"/>
        </w:rPr>
        <w:t>individual system</w:t>
      </w:r>
    </w:p>
    <w:p w:rsidR="00287CFF" w:rsidRPr="00791FF8" w:rsidRDefault="00E708CD" w:rsidP="00287CFF">
      <w:pPr>
        <w:pStyle w:val="Listenabsatz"/>
        <w:numPr>
          <w:ilvl w:val="0"/>
          <w:numId w:val="2"/>
        </w:numPr>
        <w:spacing w:after="0" w:line="360" w:lineRule="auto"/>
        <w:jc w:val="both"/>
        <w:rPr>
          <w:i/>
          <w:lang w:val="en-US"/>
        </w:rPr>
      </w:pPr>
      <w:r>
        <w:rPr>
          <w:lang w:val="en-US"/>
        </w:rPr>
        <w:t>entire body</w:t>
      </w:r>
      <w:r w:rsidR="00287CFF" w:rsidRPr="00791FF8">
        <w:rPr>
          <w:lang w:val="en-US"/>
        </w:rPr>
        <w:t xml:space="preserve">. </w:t>
      </w:r>
    </w:p>
    <w:p w:rsidR="000C7516" w:rsidRDefault="00E708CD" w:rsidP="00E708CD">
      <w:pPr>
        <w:spacing w:line="360" w:lineRule="auto"/>
        <w:jc w:val="both"/>
        <w:rPr>
          <w:lang w:val="en-US"/>
        </w:rPr>
      </w:pPr>
      <w:r>
        <w:rPr>
          <w:lang w:val="en-US"/>
        </w:rPr>
        <w:t xml:space="preserve">Absorbed doses: </w:t>
      </w:r>
      <w:r w:rsidR="001B1192">
        <w:rPr>
          <w:lang w:val="en-US"/>
        </w:rPr>
        <w:t xml:space="preserve">12.5, 1.08, 0.12 </w:t>
      </w:r>
      <w:proofErr w:type="spellStart"/>
      <w:r w:rsidR="001B1192">
        <w:rPr>
          <w:lang w:val="en-US"/>
        </w:rPr>
        <w:t>Gy</w:t>
      </w:r>
      <w:proofErr w:type="spellEnd"/>
      <w:r w:rsidR="001B1192">
        <w:rPr>
          <w:lang w:val="en-US"/>
        </w:rPr>
        <w:t xml:space="preserve"> and 25.3,</w:t>
      </w:r>
      <w:r w:rsidR="000C7516">
        <w:rPr>
          <w:lang w:val="en-US"/>
        </w:rPr>
        <w:t xml:space="preserve"> 2.02 and 0.24 </w:t>
      </w:r>
      <w:proofErr w:type="spellStart"/>
      <w:r w:rsidR="000C7516">
        <w:rPr>
          <w:lang w:val="en-US"/>
        </w:rPr>
        <w:t>Gy</w:t>
      </w:r>
      <w:proofErr w:type="spellEnd"/>
      <w:r w:rsidR="000C7516">
        <w:rPr>
          <w:lang w:val="en-US"/>
        </w:rPr>
        <w:t xml:space="preserve"> for 3 and 6 months</w:t>
      </w:r>
      <w:r w:rsidR="001B1192">
        <w:rPr>
          <w:lang w:val="en-US"/>
        </w:rPr>
        <w:t>, respectively, for tritium. E</w:t>
      </w:r>
      <w:r w:rsidR="000C7516">
        <w:rPr>
          <w:lang w:val="en-US"/>
        </w:rPr>
        <w:t xml:space="preserve">xternal </w:t>
      </w:r>
      <w:r w:rsidR="000C7516">
        <w:t>γ</w:t>
      </w:r>
      <w:r w:rsidR="000C7516">
        <w:rPr>
          <w:lang w:val="en-US"/>
        </w:rPr>
        <w:t xml:space="preserve">- radiation in comparable daily and total doses. </w:t>
      </w:r>
    </w:p>
    <w:p w:rsidR="000C7516" w:rsidRPr="001A10DC" w:rsidRDefault="000C7516" w:rsidP="00C16C28">
      <w:pPr>
        <w:spacing w:after="0" w:line="360" w:lineRule="auto"/>
        <w:jc w:val="both"/>
        <w:rPr>
          <w:b/>
          <w:lang w:val="en-US"/>
        </w:rPr>
      </w:pPr>
      <w:r>
        <w:rPr>
          <w:b/>
          <w:lang w:val="en-US"/>
        </w:rPr>
        <w:t>Results</w:t>
      </w:r>
    </w:p>
    <w:p w:rsidR="000C7516" w:rsidRPr="0084573A" w:rsidRDefault="000C7516" w:rsidP="00C16C28">
      <w:pPr>
        <w:spacing w:line="360" w:lineRule="auto"/>
        <w:jc w:val="both"/>
        <w:rPr>
          <w:lang w:val="en-US"/>
        </w:rPr>
      </w:pPr>
      <w:r>
        <w:rPr>
          <w:lang w:val="en-US"/>
        </w:rPr>
        <w:t>Change of radiosensitive tissues, individual systems and body as a whole both during the process and after NTO administration is clearly determined by value of daily intake of the radionuclide. Rats with chronic NTO intake with doses 3.7·10</w:t>
      </w:r>
      <w:r>
        <w:rPr>
          <w:vertAlign w:val="superscript"/>
          <w:lang w:val="en-US"/>
        </w:rPr>
        <w:t>4</w:t>
      </w:r>
      <w:r>
        <w:rPr>
          <w:lang w:val="en-US"/>
        </w:rPr>
        <w:t xml:space="preserve"> and 37·10</w:t>
      </w:r>
      <w:r>
        <w:rPr>
          <w:vertAlign w:val="superscript"/>
          <w:lang w:val="en-US"/>
        </w:rPr>
        <w:t>4</w:t>
      </w:r>
      <w:r>
        <w:rPr>
          <w:lang w:val="en-US"/>
        </w:rPr>
        <w:t xml:space="preserve"> </w:t>
      </w:r>
      <w:proofErr w:type="spellStart"/>
      <w:r>
        <w:rPr>
          <w:lang w:val="en-US"/>
        </w:rPr>
        <w:t>Bq</w:t>
      </w:r>
      <w:proofErr w:type="spellEnd"/>
      <w:r>
        <w:rPr>
          <w:lang w:val="en-US"/>
        </w:rPr>
        <w:t>/g body mass per day showed increase of malignant tumors frequency. According to factors characterizing deviation from the norm in the studied tissues and systems, as well as by late effects of NTO chronic intake it was found that  NTO administration by 3.7·10</w:t>
      </w:r>
      <w:r>
        <w:rPr>
          <w:vertAlign w:val="superscript"/>
          <w:lang w:val="en-US"/>
        </w:rPr>
        <w:t>3</w:t>
      </w:r>
      <w:r>
        <w:rPr>
          <w:lang w:val="en-US"/>
        </w:rPr>
        <w:t xml:space="preserve"> </w:t>
      </w:r>
      <w:proofErr w:type="spellStart"/>
      <w:r>
        <w:rPr>
          <w:lang w:val="en-US"/>
        </w:rPr>
        <w:t>Bq</w:t>
      </w:r>
      <w:proofErr w:type="spellEnd"/>
      <w:r>
        <w:rPr>
          <w:lang w:val="en-US"/>
        </w:rPr>
        <w:t>/g (dose≤ 0.</w:t>
      </w:r>
      <w:r w:rsidRPr="00F927F4">
        <w:rPr>
          <w:lang w:val="en-US"/>
        </w:rPr>
        <w:t xml:space="preserve">24 </w:t>
      </w:r>
      <w:proofErr w:type="spellStart"/>
      <w:r>
        <w:rPr>
          <w:lang w:val="en-US"/>
        </w:rPr>
        <w:t>Gy</w:t>
      </w:r>
      <w:proofErr w:type="spellEnd"/>
      <w:r>
        <w:rPr>
          <w:lang w:val="en-US"/>
        </w:rPr>
        <w:t>)</w:t>
      </w:r>
      <w:r>
        <w:rPr>
          <w:vertAlign w:val="superscript"/>
          <w:lang w:val="en-US"/>
        </w:rPr>
        <w:t xml:space="preserve"> </w:t>
      </w:r>
      <w:r>
        <w:rPr>
          <w:lang w:val="en-US"/>
        </w:rPr>
        <w:t>per day was safe for rats and mice</w:t>
      </w:r>
      <w:r w:rsidR="00C16C28">
        <w:rPr>
          <w:rStyle w:val="Funotenzeichen"/>
          <w:lang w:val="en-US"/>
        </w:rPr>
        <w:footnoteReference w:id="1"/>
      </w:r>
      <w:r>
        <w:rPr>
          <w:lang w:val="en-US"/>
        </w:rPr>
        <w:t xml:space="preserve"> at prolonged intake. Larger</w:t>
      </w:r>
      <w:r w:rsidR="00CF225D">
        <w:rPr>
          <w:lang w:val="en-US"/>
        </w:rPr>
        <w:t xml:space="preserve"> effects from NTO exposure, </w:t>
      </w:r>
      <w:r>
        <w:rPr>
          <w:lang w:val="en-US"/>
        </w:rPr>
        <w:t xml:space="preserve">compared to external </w:t>
      </w:r>
      <w:r>
        <w:t>γ</w:t>
      </w:r>
      <w:r>
        <w:rPr>
          <w:lang w:val="en-US"/>
        </w:rPr>
        <w:t xml:space="preserve">-radiation by </w:t>
      </w:r>
      <w:r>
        <w:rPr>
          <w:vertAlign w:val="superscript"/>
          <w:lang w:val="en-US"/>
        </w:rPr>
        <w:t>137</w:t>
      </w:r>
      <w:r>
        <w:rPr>
          <w:lang w:val="en-US"/>
        </w:rPr>
        <w:t>Cs</w:t>
      </w:r>
      <w:r w:rsidR="00CF225D">
        <w:rPr>
          <w:lang w:val="en-US"/>
        </w:rPr>
        <w:t>, were</w:t>
      </w:r>
      <w:r>
        <w:rPr>
          <w:lang w:val="en-US"/>
        </w:rPr>
        <w:t xml:space="preserve"> registered </w:t>
      </w:r>
      <w:r w:rsidR="00CF225D">
        <w:rPr>
          <w:lang w:val="en-US"/>
        </w:rPr>
        <w:t xml:space="preserve">for </w:t>
      </w:r>
      <w:r>
        <w:rPr>
          <w:lang w:val="en-US"/>
        </w:rPr>
        <w:t xml:space="preserve">damage and regeneration of radiosensitive tissues, suppression of immunoreaction, </w:t>
      </w:r>
      <w:r w:rsidR="00CF225D">
        <w:rPr>
          <w:lang w:val="en-US"/>
        </w:rPr>
        <w:t xml:space="preserve">and </w:t>
      </w:r>
      <w:r>
        <w:rPr>
          <w:lang w:val="en-US"/>
        </w:rPr>
        <w:t>late effects. Comparative coefficients were calculated. The report presents characteristics of mice immune reactions a</w:t>
      </w:r>
      <w:r w:rsidR="00CF225D">
        <w:rPr>
          <w:lang w:val="en-US"/>
        </w:rPr>
        <w:t>fter chronic</w:t>
      </w:r>
      <w:r>
        <w:rPr>
          <w:lang w:val="en-US"/>
        </w:rPr>
        <w:t xml:space="preserve"> tritium oxide intake. </w:t>
      </w:r>
      <w:r w:rsidR="00CF225D">
        <w:rPr>
          <w:lang w:val="en-US"/>
        </w:rPr>
        <w:t>I</w:t>
      </w:r>
      <w:r>
        <w:rPr>
          <w:lang w:val="en-US"/>
        </w:rPr>
        <w:t xml:space="preserve">n the course of the program structural damage of somatic cells chromosomes were studied during protracted administration of tritium oxide to rats and after it. The work presents results of study of rats’ lifespan and tritium oxide chronic intake tumor effects, malignant neoplasms frequency increase in exposed animals. </w:t>
      </w:r>
    </w:p>
    <w:p w:rsidR="009C20FE" w:rsidRDefault="009C20FE" w:rsidP="00C16C28">
      <w:pPr>
        <w:spacing w:after="0" w:line="360" w:lineRule="auto"/>
        <w:jc w:val="both"/>
        <w:rPr>
          <w:b/>
          <w:lang w:val="en-US"/>
        </w:rPr>
      </w:pPr>
    </w:p>
    <w:p w:rsidR="00C16C28" w:rsidRDefault="000C7516" w:rsidP="00C16C28">
      <w:pPr>
        <w:spacing w:after="0" w:line="360" w:lineRule="auto"/>
        <w:jc w:val="both"/>
        <w:rPr>
          <w:lang w:val="en-US"/>
        </w:rPr>
      </w:pPr>
      <w:r>
        <w:rPr>
          <w:b/>
          <w:lang w:val="en-US"/>
        </w:rPr>
        <w:t>Biological</w:t>
      </w:r>
      <w:r w:rsidRPr="0032013D">
        <w:rPr>
          <w:b/>
          <w:lang w:val="en-US"/>
        </w:rPr>
        <w:t xml:space="preserve"> </w:t>
      </w:r>
      <w:r>
        <w:rPr>
          <w:b/>
          <w:lang w:val="en-US"/>
        </w:rPr>
        <w:t>material</w:t>
      </w:r>
      <w:r w:rsidRPr="0032013D">
        <w:rPr>
          <w:lang w:val="en-US"/>
        </w:rPr>
        <w:t xml:space="preserve">. </w:t>
      </w:r>
    </w:p>
    <w:p w:rsidR="00A901D0" w:rsidRDefault="00C16C28" w:rsidP="00A901D0">
      <w:pPr>
        <w:spacing w:after="0" w:line="360" w:lineRule="auto"/>
        <w:jc w:val="both"/>
        <w:rPr>
          <w:lang w:val="en-US"/>
        </w:rPr>
      </w:pPr>
      <w:r>
        <w:rPr>
          <w:lang w:val="en-US"/>
        </w:rPr>
        <w:t>P</w:t>
      </w:r>
      <w:r w:rsidR="000C7516">
        <w:rPr>
          <w:lang w:val="en-US"/>
        </w:rPr>
        <w:t>araffin</w:t>
      </w:r>
      <w:r w:rsidR="000C7516" w:rsidRPr="0032013D">
        <w:rPr>
          <w:lang w:val="en-US"/>
        </w:rPr>
        <w:t>-</w:t>
      </w:r>
      <w:r w:rsidR="000C7516">
        <w:rPr>
          <w:lang w:val="en-US"/>
        </w:rPr>
        <w:t>fixed</w:t>
      </w:r>
      <w:r w:rsidR="000C7516" w:rsidRPr="0032013D">
        <w:rPr>
          <w:lang w:val="en-US"/>
        </w:rPr>
        <w:t xml:space="preserve"> </w:t>
      </w:r>
      <w:r w:rsidR="000C7516">
        <w:rPr>
          <w:lang w:val="en-US"/>
        </w:rPr>
        <w:t>biological</w:t>
      </w:r>
      <w:r w:rsidR="000C7516" w:rsidRPr="0032013D">
        <w:rPr>
          <w:lang w:val="en-US"/>
        </w:rPr>
        <w:t xml:space="preserve"> </w:t>
      </w:r>
      <w:r w:rsidR="000C7516">
        <w:rPr>
          <w:lang w:val="en-US"/>
        </w:rPr>
        <w:t>material</w:t>
      </w:r>
      <w:r w:rsidR="000C7516" w:rsidRPr="0032013D">
        <w:rPr>
          <w:lang w:val="en-US"/>
        </w:rPr>
        <w:t xml:space="preserve"> </w:t>
      </w:r>
      <w:r>
        <w:rPr>
          <w:lang w:val="en-US"/>
        </w:rPr>
        <w:t>is available</w:t>
      </w:r>
      <w:r w:rsidR="000C7516" w:rsidRPr="0032013D">
        <w:rPr>
          <w:lang w:val="en-US"/>
        </w:rPr>
        <w:t xml:space="preserve"> </w:t>
      </w:r>
      <w:r w:rsidR="000C7516">
        <w:rPr>
          <w:lang w:val="en-US"/>
        </w:rPr>
        <w:t>for</w:t>
      </w:r>
      <w:r w:rsidR="005F5531">
        <w:rPr>
          <w:lang w:val="en-US"/>
        </w:rPr>
        <w:t xml:space="preserve"> 221</w:t>
      </w:r>
      <w:r w:rsidR="000C7516" w:rsidRPr="0032013D">
        <w:rPr>
          <w:lang w:val="en-US"/>
        </w:rPr>
        <w:t xml:space="preserve"> </w:t>
      </w:r>
      <w:r w:rsidR="000C7516">
        <w:rPr>
          <w:lang w:val="en-US"/>
        </w:rPr>
        <w:t>male</w:t>
      </w:r>
      <w:r w:rsidR="000C7516" w:rsidRPr="0032013D">
        <w:rPr>
          <w:lang w:val="en-US"/>
        </w:rPr>
        <w:t xml:space="preserve"> </w:t>
      </w:r>
      <w:r w:rsidR="000C7516">
        <w:rPr>
          <w:lang w:val="en-US"/>
        </w:rPr>
        <w:t>rats</w:t>
      </w:r>
      <w:r w:rsidR="000C7516" w:rsidRPr="0032013D">
        <w:rPr>
          <w:lang w:val="en-US"/>
        </w:rPr>
        <w:t xml:space="preserve"> </w:t>
      </w:r>
      <w:r w:rsidR="000C7516">
        <w:rPr>
          <w:lang w:val="en-US"/>
        </w:rPr>
        <w:t>from</w:t>
      </w:r>
      <w:r w:rsidR="006A2D82">
        <w:rPr>
          <w:lang w:val="en-US"/>
        </w:rPr>
        <w:t xml:space="preserve"> six</w:t>
      </w:r>
      <w:r w:rsidR="000C7516" w:rsidRPr="0032013D">
        <w:rPr>
          <w:lang w:val="en-US"/>
        </w:rPr>
        <w:t xml:space="preserve"> </w:t>
      </w:r>
      <w:r w:rsidR="000C7516" w:rsidRPr="00352575">
        <w:rPr>
          <w:lang w:val="en-US"/>
        </w:rPr>
        <w:t>experimental</w:t>
      </w:r>
      <w:r w:rsidR="000C7516" w:rsidRPr="0032013D">
        <w:rPr>
          <w:lang w:val="en-US"/>
        </w:rPr>
        <w:t xml:space="preserve"> </w:t>
      </w:r>
      <w:r w:rsidR="000C7516" w:rsidRPr="00352575">
        <w:rPr>
          <w:lang w:val="en-US"/>
        </w:rPr>
        <w:t>group</w:t>
      </w:r>
      <w:r w:rsidR="000C7516">
        <w:rPr>
          <w:lang w:val="en-US"/>
        </w:rPr>
        <w:t>s</w:t>
      </w:r>
      <w:r w:rsidR="000C7516" w:rsidRPr="0032013D">
        <w:rPr>
          <w:lang w:val="en-US"/>
        </w:rPr>
        <w:t xml:space="preserve">. </w:t>
      </w:r>
      <w:r w:rsidR="00A901D0">
        <w:rPr>
          <w:lang w:val="en-US"/>
        </w:rPr>
        <w:t xml:space="preserve">The preparation method is described in STOREDB File 10865, accessible through </w:t>
      </w:r>
      <w:hyperlink r:id="rId10" w:history="1">
        <w:r w:rsidR="00A901D0" w:rsidRPr="00A35318">
          <w:rPr>
            <w:rStyle w:val="Hyperlink"/>
            <w:lang w:val="en-US"/>
          </w:rPr>
          <w:t>http://dx.doi.org/doi:10.20348/STOREDB/1041/1070</w:t>
        </w:r>
      </w:hyperlink>
      <w:r w:rsidR="00A901D0">
        <w:rPr>
          <w:lang w:val="en-US"/>
        </w:rPr>
        <w:t xml:space="preserve"> .</w:t>
      </w:r>
    </w:p>
    <w:p w:rsidR="000C7516" w:rsidRDefault="000C7516" w:rsidP="00C16C28">
      <w:pPr>
        <w:spacing w:after="0" w:line="360" w:lineRule="auto"/>
        <w:jc w:val="both"/>
        <w:rPr>
          <w:lang w:val="en-US"/>
        </w:rPr>
      </w:pPr>
      <w:r>
        <w:rPr>
          <w:lang w:val="en-US"/>
        </w:rPr>
        <w:t>In</w:t>
      </w:r>
      <w:r w:rsidRPr="00E00B1B">
        <w:rPr>
          <w:lang w:val="en-US"/>
        </w:rPr>
        <w:t xml:space="preserve"> 3 </w:t>
      </w:r>
      <w:r>
        <w:rPr>
          <w:lang w:val="en-US"/>
        </w:rPr>
        <w:t>test</w:t>
      </w:r>
      <w:r w:rsidRPr="00E00B1B">
        <w:rPr>
          <w:lang w:val="en-US"/>
        </w:rPr>
        <w:t xml:space="preserve"> </w:t>
      </w:r>
      <w:r>
        <w:rPr>
          <w:lang w:val="en-US"/>
        </w:rPr>
        <w:t>and</w:t>
      </w:r>
      <w:r w:rsidRPr="00E00B1B">
        <w:rPr>
          <w:lang w:val="en-US"/>
        </w:rPr>
        <w:t xml:space="preserve"> </w:t>
      </w:r>
      <w:r>
        <w:rPr>
          <w:lang w:val="en-US"/>
        </w:rPr>
        <w:t>control</w:t>
      </w:r>
      <w:r w:rsidRPr="00E00B1B">
        <w:rPr>
          <w:lang w:val="en-US"/>
        </w:rPr>
        <w:t xml:space="preserve"> </w:t>
      </w:r>
      <w:r>
        <w:rPr>
          <w:lang w:val="en-US"/>
        </w:rPr>
        <w:t>groups</w:t>
      </w:r>
      <w:r w:rsidRPr="00E00B1B">
        <w:rPr>
          <w:lang w:val="en-US"/>
        </w:rPr>
        <w:t xml:space="preserve"> </w:t>
      </w:r>
      <w:r>
        <w:rPr>
          <w:lang w:val="en-US"/>
        </w:rPr>
        <w:t>late</w:t>
      </w:r>
      <w:r w:rsidRPr="00E00B1B">
        <w:rPr>
          <w:lang w:val="en-US"/>
        </w:rPr>
        <w:t xml:space="preserve"> </w:t>
      </w:r>
      <w:r>
        <w:rPr>
          <w:lang w:val="en-US"/>
        </w:rPr>
        <w:t>effects</w:t>
      </w:r>
      <w:r w:rsidRPr="00E00B1B">
        <w:rPr>
          <w:lang w:val="en-US"/>
        </w:rPr>
        <w:t xml:space="preserve"> </w:t>
      </w:r>
      <w:r>
        <w:rPr>
          <w:lang w:val="en-US"/>
        </w:rPr>
        <w:t>of</w:t>
      </w:r>
      <w:r w:rsidRPr="00E00B1B">
        <w:rPr>
          <w:lang w:val="en-US"/>
        </w:rPr>
        <w:t xml:space="preserve"> </w:t>
      </w:r>
      <w:r>
        <w:rPr>
          <w:lang w:val="en-US"/>
        </w:rPr>
        <w:t>exposure</w:t>
      </w:r>
      <w:r w:rsidRPr="00E00B1B">
        <w:rPr>
          <w:lang w:val="en-US"/>
        </w:rPr>
        <w:t xml:space="preserve"> (</w:t>
      </w:r>
      <w:r>
        <w:rPr>
          <w:lang w:val="en-US"/>
        </w:rPr>
        <w:t>LEE</w:t>
      </w:r>
      <w:r w:rsidRPr="00E00B1B">
        <w:rPr>
          <w:lang w:val="en-US"/>
        </w:rPr>
        <w:t xml:space="preserve">) </w:t>
      </w:r>
      <w:r>
        <w:rPr>
          <w:lang w:val="en-US"/>
        </w:rPr>
        <w:t>were</w:t>
      </w:r>
      <w:r w:rsidRPr="00E00B1B">
        <w:rPr>
          <w:lang w:val="en-US"/>
        </w:rPr>
        <w:t xml:space="preserve"> </w:t>
      </w:r>
      <w:r>
        <w:rPr>
          <w:lang w:val="en-US"/>
        </w:rPr>
        <w:t>assessed</w:t>
      </w:r>
      <w:r w:rsidRPr="00E00B1B">
        <w:rPr>
          <w:lang w:val="en-US"/>
        </w:rPr>
        <w:t xml:space="preserve"> </w:t>
      </w:r>
      <w:r>
        <w:rPr>
          <w:lang w:val="en-US"/>
        </w:rPr>
        <w:t>for</w:t>
      </w:r>
      <w:r w:rsidRPr="00E00B1B">
        <w:rPr>
          <w:lang w:val="en-US"/>
        </w:rPr>
        <w:t xml:space="preserve"> </w:t>
      </w:r>
      <w:r>
        <w:rPr>
          <w:lang w:val="en-US"/>
        </w:rPr>
        <w:t>external</w:t>
      </w:r>
      <w:r w:rsidRPr="00E00B1B">
        <w:rPr>
          <w:lang w:val="en-US"/>
        </w:rPr>
        <w:t xml:space="preserve"> (</w:t>
      </w:r>
      <w:r>
        <w:t>γ</w:t>
      </w:r>
      <w:r w:rsidRPr="00E00B1B">
        <w:rPr>
          <w:lang w:val="en-US"/>
        </w:rPr>
        <w:t xml:space="preserve">) </w:t>
      </w:r>
      <w:r>
        <w:rPr>
          <w:lang w:val="en-US"/>
        </w:rPr>
        <w:t>and</w:t>
      </w:r>
      <w:r w:rsidRPr="00E00B1B">
        <w:rPr>
          <w:lang w:val="en-US"/>
        </w:rPr>
        <w:t xml:space="preserve"> </w:t>
      </w:r>
      <w:r>
        <w:rPr>
          <w:lang w:val="en-US"/>
        </w:rPr>
        <w:t>internal</w:t>
      </w:r>
      <w:r w:rsidRPr="00E00B1B">
        <w:rPr>
          <w:lang w:val="en-US"/>
        </w:rPr>
        <w:t xml:space="preserve"> (</w:t>
      </w:r>
      <w:r>
        <w:t>β</w:t>
      </w:r>
      <w:r w:rsidRPr="00E00B1B">
        <w:rPr>
          <w:lang w:val="en-US"/>
        </w:rPr>
        <w:t xml:space="preserve">) </w:t>
      </w:r>
      <w:r>
        <w:rPr>
          <w:lang w:val="en-US"/>
        </w:rPr>
        <w:t>prolonged</w:t>
      </w:r>
      <w:r w:rsidRPr="00E00B1B">
        <w:rPr>
          <w:lang w:val="en-US"/>
        </w:rPr>
        <w:t xml:space="preserve"> </w:t>
      </w:r>
      <w:r>
        <w:rPr>
          <w:lang w:val="en-US"/>
        </w:rPr>
        <w:t>exposure</w:t>
      </w:r>
      <w:r w:rsidRPr="00E00B1B">
        <w:rPr>
          <w:lang w:val="en-US"/>
        </w:rPr>
        <w:t xml:space="preserve"> (3 </w:t>
      </w:r>
      <w:r>
        <w:rPr>
          <w:lang w:val="en-US"/>
        </w:rPr>
        <w:t>levels</w:t>
      </w:r>
      <w:r w:rsidRPr="00E00B1B">
        <w:rPr>
          <w:lang w:val="en-US"/>
        </w:rPr>
        <w:t xml:space="preserve"> </w:t>
      </w:r>
      <w:r>
        <w:rPr>
          <w:lang w:val="en-US"/>
        </w:rPr>
        <w:t>of</w:t>
      </w:r>
      <w:r w:rsidRPr="00E00B1B">
        <w:rPr>
          <w:lang w:val="en-US"/>
        </w:rPr>
        <w:t xml:space="preserve"> </w:t>
      </w:r>
      <w:r>
        <w:rPr>
          <w:lang w:val="en-US"/>
        </w:rPr>
        <w:t>dose</w:t>
      </w:r>
      <w:r w:rsidRPr="00E00B1B">
        <w:rPr>
          <w:lang w:val="en-US"/>
        </w:rPr>
        <w:t xml:space="preserve">); </w:t>
      </w:r>
      <w:r>
        <w:rPr>
          <w:lang w:val="en-US"/>
        </w:rPr>
        <w:t>in</w:t>
      </w:r>
      <w:r w:rsidRPr="00E00B1B">
        <w:rPr>
          <w:lang w:val="en-US"/>
        </w:rPr>
        <w:t xml:space="preserve"> </w:t>
      </w:r>
      <w:r>
        <w:rPr>
          <w:lang w:val="en-US"/>
        </w:rPr>
        <w:t>other</w:t>
      </w:r>
      <w:r w:rsidRPr="00E00B1B">
        <w:rPr>
          <w:lang w:val="en-US"/>
        </w:rPr>
        <w:t xml:space="preserve"> 3 </w:t>
      </w:r>
      <w:r>
        <w:rPr>
          <w:lang w:val="en-US"/>
        </w:rPr>
        <w:t>groups</w:t>
      </w:r>
      <w:r w:rsidRPr="00E00B1B">
        <w:rPr>
          <w:lang w:val="en-US"/>
        </w:rPr>
        <w:t xml:space="preserve"> </w:t>
      </w:r>
      <w:r>
        <w:rPr>
          <w:lang w:val="en-US"/>
        </w:rPr>
        <w:t>of</w:t>
      </w:r>
      <w:r w:rsidRPr="00E00B1B">
        <w:rPr>
          <w:lang w:val="en-US"/>
        </w:rPr>
        <w:t xml:space="preserve"> </w:t>
      </w:r>
      <w:r>
        <w:rPr>
          <w:lang w:val="en-US"/>
        </w:rPr>
        <w:t>test</w:t>
      </w:r>
      <w:r w:rsidRPr="00E00B1B">
        <w:rPr>
          <w:lang w:val="en-US"/>
        </w:rPr>
        <w:t xml:space="preserve"> </w:t>
      </w:r>
      <w:r>
        <w:rPr>
          <w:lang w:val="en-US"/>
        </w:rPr>
        <w:t>and</w:t>
      </w:r>
      <w:r w:rsidRPr="00E00B1B">
        <w:rPr>
          <w:lang w:val="en-US"/>
        </w:rPr>
        <w:t xml:space="preserve"> </w:t>
      </w:r>
      <w:r>
        <w:rPr>
          <w:lang w:val="en-US"/>
        </w:rPr>
        <w:t>control</w:t>
      </w:r>
      <w:r w:rsidRPr="00E00B1B">
        <w:rPr>
          <w:lang w:val="en-US"/>
        </w:rPr>
        <w:t xml:space="preserve"> </w:t>
      </w:r>
      <w:r>
        <w:rPr>
          <w:lang w:val="en-US"/>
        </w:rPr>
        <w:t>animals</w:t>
      </w:r>
      <w:r w:rsidRPr="00E00B1B">
        <w:rPr>
          <w:lang w:val="en-US"/>
        </w:rPr>
        <w:t xml:space="preserve"> </w:t>
      </w:r>
      <w:r>
        <w:rPr>
          <w:lang w:val="en-US"/>
        </w:rPr>
        <w:t>pathology</w:t>
      </w:r>
      <w:r w:rsidRPr="00E00B1B">
        <w:rPr>
          <w:lang w:val="en-US"/>
        </w:rPr>
        <w:t xml:space="preserve"> </w:t>
      </w:r>
      <w:r>
        <w:rPr>
          <w:lang w:val="en-US"/>
        </w:rPr>
        <w:t>dynamics</w:t>
      </w:r>
      <w:r w:rsidRPr="00E00B1B">
        <w:rPr>
          <w:lang w:val="en-US"/>
        </w:rPr>
        <w:t xml:space="preserve"> (</w:t>
      </w:r>
      <w:r>
        <w:rPr>
          <w:lang w:val="en-US"/>
        </w:rPr>
        <w:t>PD</w:t>
      </w:r>
      <w:r w:rsidRPr="00E00B1B">
        <w:rPr>
          <w:lang w:val="en-US"/>
        </w:rPr>
        <w:t>)</w:t>
      </w:r>
      <w:r>
        <w:rPr>
          <w:lang w:val="en-US"/>
        </w:rPr>
        <w:t xml:space="preserve"> was studied in different periods during and after </w:t>
      </w:r>
      <w:r>
        <w:t>γ</w:t>
      </w:r>
      <w:r w:rsidRPr="00E00B1B">
        <w:rPr>
          <w:lang w:val="en-US"/>
        </w:rPr>
        <w:t xml:space="preserve">- </w:t>
      </w:r>
      <w:r>
        <w:rPr>
          <w:lang w:val="en-US"/>
        </w:rPr>
        <w:t>and</w:t>
      </w:r>
      <w:r w:rsidRPr="00E00B1B">
        <w:rPr>
          <w:lang w:val="en-US"/>
        </w:rPr>
        <w:t xml:space="preserve"> </w:t>
      </w:r>
      <w:r>
        <w:t>β</w:t>
      </w:r>
      <w:r w:rsidRPr="00E00B1B">
        <w:rPr>
          <w:lang w:val="en-US"/>
        </w:rPr>
        <w:t>-</w:t>
      </w:r>
      <w:r>
        <w:rPr>
          <w:lang w:val="en-US"/>
        </w:rPr>
        <w:t>exposure</w:t>
      </w:r>
      <w:r w:rsidRPr="00E00B1B">
        <w:rPr>
          <w:lang w:val="en-US"/>
        </w:rPr>
        <w:t xml:space="preserve">. </w:t>
      </w:r>
      <w:r w:rsidR="006A2D82">
        <w:rPr>
          <w:lang w:val="en-US"/>
        </w:rPr>
        <w:t>Six</w:t>
      </w:r>
      <w:r w:rsidRPr="00591C7F">
        <w:rPr>
          <w:lang w:val="en-US"/>
        </w:rPr>
        <w:t xml:space="preserve"> </w:t>
      </w:r>
      <w:r>
        <w:rPr>
          <w:lang w:val="en-US"/>
        </w:rPr>
        <w:t>experiments</w:t>
      </w:r>
      <w:r w:rsidRPr="00591C7F">
        <w:rPr>
          <w:lang w:val="en-US"/>
        </w:rPr>
        <w:t xml:space="preserve"> </w:t>
      </w:r>
      <w:r>
        <w:rPr>
          <w:lang w:val="en-US"/>
        </w:rPr>
        <w:t xml:space="preserve">and biomaterial are characterized in the </w:t>
      </w:r>
      <w:r w:rsidR="00C16C28">
        <w:rPr>
          <w:lang w:val="en-US"/>
        </w:rPr>
        <w:t>T</w:t>
      </w:r>
      <w:r>
        <w:rPr>
          <w:lang w:val="en-US"/>
        </w:rPr>
        <w:t xml:space="preserve">able </w:t>
      </w:r>
      <w:r w:rsidR="00C16C28">
        <w:rPr>
          <w:lang w:val="en-US"/>
        </w:rPr>
        <w:t>1.</w:t>
      </w:r>
    </w:p>
    <w:p w:rsidR="00C16C28" w:rsidRPr="00266AAD" w:rsidRDefault="00C16C28" w:rsidP="00C16C28">
      <w:pPr>
        <w:spacing w:after="0" w:line="360" w:lineRule="auto"/>
        <w:jc w:val="both"/>
        <w:rPr>
          <w:lang w:val="en-US"/>
        </w:rPr>
      </w:pPr>
      <w:r>
        <w:rPr>
          <w:lang w:val="en-US"/>
        </w:rPr>
        <w:t>A few slides are available, too. This is shown in Table 2.</w:t>
      </w:r>
    </w:p>
    <w:p w:rsidR="00BB6447" w:rsidRDefault="00BB6447" w:rsidP="00A901D0">
      <w:pPr>
        <w:spacing w:after="0" w:line="360" w:lineRule="auto"/>
        <w:rPr>
          <w:lang w:val="en-US"/>
        </w:rPr>
      </w:pPr>
      <w:r>
        <w:rPr>
          <w:b/>
          <w:lang w:val="en-US"/>
        </w:rPr>
        <w:lastRenderedPageBreak/>
        <w:t>Further</w:t>
      </w:r>
      <w:r w:rsidR="00AF6776">
        <w:rPr>
          <w:b/>
          <w:lang w:val="en-US"/>
        </w:rPr>
        <w:t xml:space="preserve"> relevant</w:t>
      </w:r>
      <w:r>
        <w:rPr>
          <w:b/>
          <w:lang w:val="en-US"/>
        </w:rPr>
        <w:t xml:space="preserve"> information</w:t>
      </w:r>
    </w:p>
    <w:p w:rsidR="00BB6447" w:rsidRDefault="00BB6447" w:rsidP="00A901D0">
      <w:pPr>
        <w:spacing w:after="0" w:line="360" w:lineRule="auto"/>
        <w:rPr>
          <w:lang w:val="en-US"/>
        </w:rPr>
      </w:pPr>
      <w:r>
        <w:rPr>
          <w:lang w:val="en-US"/>
        </w:rPr>
        <w:t xml:space="preserve">This study is in close relation to study 86323 (see </w:t>
      </w:r>
      <w:hyperlink r:id="rId11" w:history="1">
        <w:r w:rsidR="009B03E8" w:rsidRPr="0003202D">
          <w:rPr>
            <w:rStyle w:val="Hyperlink"/>
            <w:lang w:val="en-US"/>
          </w:rPr>
          <w:t>http://dx.doi.org/doi:10.20348/STOREDB/1056/1162</w:t>
        </w:r>
      </w:hyperlink>
      <w:r w:rsidR="009B03E8">
        <w:rPr>
          <w:lang w:val="en-US"/>
        </w:rPr>
        <w:t xml:space="preserve"> </w:t>
      </w:r>
      <w:r w:rsidR="00C74343">
        <w:rPr>
          <w:lang w:val="en-US"/>
        </w:rPr>
        <w:t>).</w:t>
      </w:r>
    </w:p>
    <w:p w:rsidR="004C07BB" w:rsidRPr="00BB6447" w:rsidRDefault="004C07BB" w:rsidP="00A901D0">
      <w:pPr>
        <w:spacing w:after="0" w:line="360" w:lineRule="auto"/>
        <w:rPr>
          <w:lang w:val="en-US"/>
        </w:rPr>
      </w:pPr>
      <w:r>
        <w:rPr>
          <w:lang w:val="en-US"/>
        </w:rPr>
        <w:t xml:space="preserve">Detailed information on the available organs per animal and on their causes of death can be found within STORE </w:t>
      </w:r>
      <w:r w:rsidR="00EC2632">
        <w:rPr>
          <w:lang w:val="en-US"/>
        </w:rPr>
        <w:t>at</w:t>
      </w:r>
      <w:bookmarkStart w:id="0" w:name="_GoBack"/>
      <w:bookmarkEnd w:id="0"/>
      <w:r>
        <w:rPr>
          <w:lang w:val="en-US"/>
        </w:rPr>
        <w:t xml:space="preserve"> </w:t>
      </w:r>
      <w:hyperlink r:id="rId12" w:history="1">
        <w:r w:rsidRPr="00BD7ABB">
          <w:rPr>
            <w:rStyle w:val="Hyperlink"/>
            <w:lang w:val="en-US"/>
          </w:rPr>
          <w:t>http://dx.doi.org/DOI:10.20348/STOREDB/1041</w:t>
        </w:r>
      </w:hyperlink>
      <w:r>
        <w:rPr>
          <w:lang w:val="en-US"/>
        </w:rPr>
        <w:t xml:space="preserve"> .</w:t>
      </w:r>
    </w:p>
    <w:p w:rsidR="00BB6447" w:rsidRDefault="00BB6447" w:rsidP="00A901D0">
      <w:pPr>
        <w:spacing w:after="0" w:line="360" w:lineRule="auto"/>
        <w:rPr>
          <w:b/>
          <w:lang w:val="en-US"/>
        </w:rPr>
      </w:pPr>
    </w:p>
    <w:p w:rsidR="00A901D0" w:rsidRPr="003D5711" w:rsidRDefault="00A901D0" w:rsidP="00A901D0">
      <w:pPr>
        <w:spacing w:after="0" w:line="360" w:lineRule="auto"/>
        <w:rPr>
          <w:b/>
          <w:lang w:val="en-US"/>
        </w:rPr>
      </w:pPr>
      <w:r w:rsidRPr="003D5711">
        <w:rPr>
          <w:b/>
          <w:lang w:val="en-US"/>
        </w:rPr>
        <w:t>Contact information</w:t>
      </w:r>
    </w:p>
    <w:p w:rsidR="00A901D0" w:rsidRPr="00C60708" w:rsidRDefault="00A901D0" w:rsidP="00A901D0">
      <w:pPr>
        <w:rPr>
          <w:lang w:val="en-US"/>
        </w:rPr>
      </w:pPr>
      <w:r w:rsidRPr="0074356D">
        <w:rPr>
          <w:lang w:val="en-US"/>
        </w:rPr>
        <w:t xml:space="preserve">If you want to use the material </w:t>
      </w:r>
      <w:r w:rsidR="009C20FE">
        <w:rPr>
          <w:lang w:val="en-US"/>
        </w:rPr>
        <w:t xml:space="preserve">or have any detailed questions regarding the study </w:t>
      </w:r>
      <w:r w:rsidRPr="0074356D">
        <w:rPr>
          <w:lang w:val="en-US"/>
        </w:rPr>
        <w:t>you should contact SUBI through</w:t>
      </w:r>
      <w:r>
        <w:rPr>
          <w:lang w:val="en-US"/>
        </w:rPr>
        <w:t xml:space="preserve"> </w:t>
      </w:r>
      <w:hyperlink r:id="rId13" w:history="1">
        <w:r w:rsidRPr="00A35318">
          <w:rPr>
            <w:rStyle w:val="Hyperlink"/>
            <w:lang w:val="en-US"/>
          </w:rPr>
          <w:t>inter_dep@subi.su</w:t>
        </w:r>
      </w:hyperlink>
      <w:r w:rsidRPr="0074356D">
        <w:rPr>
          <w:lang w:val="en-US"/>
        </w:rPr>
        <w:t>.</w:t>
      </w:r>
      <w:r>
        <w:rPr>
          <w:lang w:val="en-US"/>
        </w:rPr>
        <w:t xml:space="preserve"> </w:t>
      </w:r>
      <w:r w:rsidRPr="0074356D">
        <w:rPr>
          <w:lang w:val="en-US"/>
        </w:rPr>
        <w:t xml:space="preserve">If you have </w:t>
      </w:r>
      <w:r>
        <w:rPr>
          <w:lang w:val="en-US"/>
        </w:rPr>
        <w:t xml:space="preserve">any </w:t>
      </w:r>
      <w:r w:rsidRPr="0074356D">
        <w:rPr>
          <w:lang w:val="en-US"/>
        </w:rPr>
        <w:t xml:space="preserve">questions regarding this short summary report, </w:t>
      </w:r>
      <w:r>
        <w:rPr>
          <w:lang w:val="en-US"/>
        </w:rPr>
        <w:t>please</w:t>
      </w:r>
      <w:r w:rsidRPr="0074356D">
        <w:rPr>
          <w:lang w:val="en-US"/>
        </w:rPr>
        <w:t xml:space="preserve"> contact Dr. Bernd Grosche (</w:t>
      </w:r>
      <w:hyperlink r:id="rId14" w:history="1">
        <w:r w:rsidRPr="00A35318">
          <w:rPr>
            <w:rStyle w:val="Hyperlink"/>
            <w:lang w:val="en-US"/>
          </w:rPr>
          <w:t>bgrosche@t-online.de</w:t>
        </w:r>
      </w:hyperlink>
      <w:r w:rsidRPr="0074356D">
        <w:rPr>
          <w:lang w:val="en-US"/>
        </w:rPr>
        <w:t>).</w:t>
      </w:r>
    </w:p>
    <w:p w:rsidR="005F0080" w:rsidRPr="000C7516" w:rsidRDefault="00650A59">
      <w:pPr>
        <w:rPr>
          <w:lang w:val="en-US"/>
        </w:rPr>
      </w:pPr>
    </w:p>
    <w:sectPr w:rsidR="005F0080" w:rsidRPr="000C75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A59" w:rsidRDefault="00650A59" w:rsidP="00C16C28">
      <w:pPr>
        <w:spacing w:after="0" w:line="240" w:lineRule="auto"/>
      </w:pPr>
      <w:r>
        <w:separator/>
      </w:r>
    </w:p>
  </w:endnote>
  <w:endnote w:type="continuationSeparator" w:id="0">
    <w:p w:rsidR="00650A59" w:rsidRDefault="00650A59" w:rsidP="00C16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A59" w:rsidRDefault="00650A59" w:rsidP="00C16C28">
      <w:pPr>
        <w:spacing w:after="0" w:line="240" w:lineRule="auto"/>
      </w:pPr>
      <w:r>
        <w:separator/>
      </w:r>
    </w:p>
  </w:footnote>
  <w:footnote w:type="continuationSeparator" w:id="0">
    <w:p w:rsidR="00650A59" w:rsidRDefault="00650A59" w:rsidP="00C16C28">
      <w:pPr>
        <w:spacing w:after="0" w:line="240" w:lineRule="auto"/>
      </w:pPr>
      <w:r>
        <w:continuationSeparator/>
      </w:r>
    </w:p>
  </w:footnote>
  <w:footnote w:id="1">
    <w:p w:rsidR="00C16C28" w:rsidRPr="00C16C28" w:rsidRDefault="00C16C28">
      <w:pPr>
        <w:pStyle w:val="Funotentext"/>
        <w:rPr>
          <w:lang w:val="en-GB"/>
        </w:rPr>
      </w:pPr>
      <w:r>
        <w:rPr>
          <w:rStyle w:val="Funotenzeichen"/>
        </w:rPr>
        <w:footnoteRef/>
      </w:r>
      <w:r>
        <w:t xml:space="preserve"> </w:t>
      </w:r>
      <w:r w:rsidRPr="00C16C28">
        <w:rPr>
          <w:lang w:val="en-GB"/>
        </w:rPr>
        <w:t>The experiment included mice, too, but re</w:t>
      </w:r>
      <w:r>
        <w:rPr>
          <w:lang w:val="en-GB"/>
        </w:rPr>
        <w:t>spective information is not available.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D12"/>
    <w:multiLevelType w:val="hybridMultilevel"/>
    <w:tmpl w:val="0E7CF092"/>
    <w:lvl w:ilvl="0" w:tplc="60A8A69A">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061234"/>
    <w:multiLevelType w:val="hybridMultilevel"/>
    <w:tmpl w:val="2EE8DC16"/>
    <w:lvl w:ilvl="0" w:tplc="1D524458">
      <w:numFmt w:val="bullet"/>
      <w:lvlText w:val="-"/>
      <w:lvlJc w:val="left"/>
      <w:pPr>
        <w:ind w:left="720" w:hanging="360"/>
      </w:pPr>
      <w:rPr>
        <w:rFonts w:ascii="Times New Roman" w:eastAsia="Calibri" w:hAnsi="Times New Roman" w:cs="Times New Roman"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E15836"/>
    <w:multiLevelType w:val="hybridMultilevel"/>
    <w:tmpl w:val="5EFEA4E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516"/>
    <w:rsid w:val="000C7516"/>
    <w:rsid w:val="001B1192"/>
    <w:rsid w:val="0021024B"/>
    <w:rsid w:val="00287CFF"/>
    <w:rsid w:val="002A3ABE"/>
    <w:rsid w:val="00327AB5"/>
    <w:rsid w:val="004C07BB"/>
    <w:rsid w:val="005812AB"/>
    <w:rsid w:val="005F5531"/>
    <w:rsid w:val="00650A59"/>
    <w:rsid w:val="006A2D82"/>
    <w:rsid w:val="006D4452"/>
    <w:rsid w:val="00770E1B"/>
    <w:rsid w:val="007D6D14"/>
    <w:rsid w:val="008A5F3B"/>
    <w:rsid w:val="009B03E8"/>
    <w:rsid w:val="009C20FE"/>
    <w:rsid w:val="00A3533B"/>
    <w:rsid w:val="00A901D0"/>
    <w:rsid w:val="00AF6776"/>
    <w:rsid w:val="00BB6447"/>
    <w:rsid w:val="00BC5E2F"/>
    <w:rsid w:val="00BF7624"/>
    <w:rsid w:val="00C118F8"/>
    <w:rsid w:val="00C16C28"/>
    <w:rsid w:val="00C33BD4"/>
    <w:rsid w:val="00C74343"/>
    <w:rsid w:val="00CF225D"/>
    <w:rsid w:val="00DC6B76"/>
    <w:rsid w:val="00E708CD"/>
    <w:rsid w:val="00EC26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C6BB"/>
  <w15:chartTrackingRefBased/>
  <w15:docId w15:val="{0F473CA1-5CCF-4E88-B63E-3E7920D0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C7516"/>
    <w:pPr>
      <w:spacing w:after="200" w:line="276" w:lineRule="auto"/>
    </w:pPr>
    <w:rPr>
      <w:rFonts w:ascii="Times New Roman" w:eastAsia="Calibri" w:hAnsi="Times New Roman" w:cs="Times New Roman"/>
      <w:sz w:val="24"/>
      <w:szCs w:val="24"/>
      <w:lang w:val="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autoRedefine/>
    <w:uiPriority w:val="35"/>
    <w:unhideWhenUsed/>
    <w:qFormat/>
    <w:rsid w:val="00BF7624"/>
    <w:pPr>
      <w:spacing w:line="240" w:lineRule="auto"/>
    </w:pPr>
    <w:rPr>
      <w:b/>
      <w:iCs/>
      <w:color w:val="44546A" w:themeColor="text2"/>
      <w:szCs w:val="18"/>
    </w:rPr>
  </w:style>
  <w:style w:type="character" w:styleId="Hyperlink">
    <w:name w:val="Hyperlink"/>
    <w:basedOn w:val="Absatz-Standardschriftart"/>
    <w:unhideWhenUsed/>
    <w:rsid w:val="00C118F8"/>
    <w:rPr>
      <w:color w:val="0563C1" w:themeColor="hyperlink"/>
      <w:u w:val="single"/>
    </w:rPr>
  </w:style>
  <w:style w:type="paragraph" w:styleId="Listenabsatz">
    <w:name w:val="List Paragraph"/>
    <w:basedOn w:val="Standard"/>
    <w:uiPriority w:val="34"/>
    <w:qFormat/>
    <w:rsid w:val="00287CFF"/>
    <w:pPr>
      <w:ind w:left="720"/>
      <w:contextualSpacing/>
    </w:pPr>
  </w:style>
  <w:style w:type="paragraph" w:styleId="Funotentext">
    <w:name w:val="footnote text"/>
    <w:basedOn w:val="Standard"/>
    <w:link w:val="FunotentextZchn"/>
    <w:uiPriority w:val="99"/>
    <w:semiHidden/>
    <w:unhideWhenUsed/>
    <w:rsid w:val="00C16C2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16C28"/>
    <w:rPr>
      <w:rFonts w:ascii="Times New Roman" w:eastAsia="Calibri" w:hAnsi="Times New Roman" w:cs="Times New Roman"/>
      <w:sz w:val="20"/>
      <w:szCs w:val="20"/>
      <w:lang w:val="ru-RU"/>
    </w:rPr>
  </w:style>
  <w:style w:type="character" w:styleId="Funotenzeichen">
    <w:name w:val="footnote reference"/>
    <w:basedOn w:val="Absatz-Standardschriftart"/>
    <w:uiPriority w:val="99"/>
    <w:semiHidden/>
    <w:unhideWhenUsed/>
    <w:rsid w:val="00C16C28"/>
    <w:rPr>
      <w:vertAlign w:val="superscript"/>
    </w:rPr>
  </w:style>
  <w:style w:type="character" w:styleId="BesuchterLink">
    <w:name w:val="FollowedHyperlink"/>
    <w:basedOn w:val="Absatz-Standardschriftart"/>
    <w:uiPriority w:val="99"/>
    <w:semiHidden/>
    <w:unhideWhenUsed/>
    <w:rsid w:val="006A2D82"/>
    <w:rPr>
      <w:color w:val="954F72" w:themeColor="followedHyperlink"/>
      <w:u w:val="single"/>
    </w:rPr>
  </w:style>
  <w:style w:type="character" w:styleId="NichtaufgelsteErwhnung">
    <w:name w:val="Unresolved Mention"/>
    <w:basedOn w:val="Absatz-Standardschriftart"/>
    <w:uiPriority w:val="99"/>
    <w:semiHidden/>
    <w:unhideWhenUsed/>
    <w:rsid w:val="009B0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4644">
      <w:bodyDiv w:val="1"/>
      <w:marLeft w:val="0"/>
      <w:marRight w:val="0"/>
      <w:marTop w:val="0"/>
      <w:marBottom w:val="0"/>
      <w:divBdr>
        <w:top w:val="none" w:sz="0" w:space="0" w:color="auto"/>
        <w:left w:val="none" w:sz="0" w:space="0" w:color="auto"/>
        <w:bottom w:val="none" w:sz="0" w:space="0" w:color="auto"/>
        <w:right w:val="none" w:sz="0" w:space="0" w:color="auto"/>
      </w:divBdr>
    </w:div>
    <w:div w:id="212345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dis.europa.eu/project/rcn/89386_en.html" TargetMode="External"/><Relationship Id="rId13" Type="http://schemas.openxmlformats.org/officeDocument/2006/relationships/hyperlink" Target="mailto:inter_dep@sub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DOI:10.20348/STOREDB/104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doi:10.20348/STOREDB/1056/116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doi:10.20348/STOREDB/1041/1070" TargetMode="External"/><Relationship Id="rId4" Type="http://schemas.openxmlformats.org/officeDocument/2006/relationships/settings" Target="settings.xml"/><Relationship Id="rId9" Type="http://schemas.openxmlformats.org/officeDocument/2006/relationships/hyperlink" Target="http://www.storedb.org/store_v3/documents.jsp" TargetMode="External"/><Relationship Id="rId14" Type="http://schemas.openxmlformats.org/officeDocument/2006/relationships/hyperlink" Target="mailto:bgrosche@t-onlin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ACC3A-C364-4CDD-A7E1-D48411CF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4526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Grosche</dc:creator>
  <cp:keywords/>
  <dc:description/>
  <cp:lastModifiedBy>Bernd Grosche</cp:lastModifiedBy>
  <cp:revision>15</cp:revision>
  <dcterms:created xsi:type="dcterms:W3CDTF">2016-10-06T08:14:00Z</dcterms:created>
  <dcterms:modified xsi:type="dcterms:W3CDTF">2018-07-20T13:18:00Z</dcterms:modified>
</cp:coreProperties>
</file>